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background w:color="FFFFFF"/>
  <w:body>
    <w:p w:rsidR="00000000" w:rsidDel="00000000" w:rsidP="00000000" w:rsidRDefault="00000000" w:rsidRPr="00000000">
      <w:pPr>
        <w:ind w:left="0" w:firstLine="0"/>
        <w:contextualSpacing w:val="0"/>
        <w:jc w:val="center"/>
      </w:pPr>
      <w:r w:rsidDel="00000000" w:rsidR="00000000" w:rsidRPr="00000000">
        <w:rPr>
          <w:rtl w:val="0"/>
        </w:rPr>
      </w:r>
    </w:p>
    <w:p w:rsidR="00000000" w:rsidDel="00000000" w:rsidP="00000000" w:rsidRDefault="00000000" w:rsidRPr="00000000">
      <w:pPr>
        <w:ind w:left="0" w:firstLine="0"/>
        <w:contextualSpacing w:val="0"/>
        <w:jc w:val="center"/>
      </w:pPr>
      <w:r w:rsidDel="00000000" w:rsidR="00000000" w:rsidRPr="00000000">
        <w:rPr>
          <w:rtl w:val="0"/>
        </w:rPr>
      </w:r>
    </w:p>
    <w:p w:rsidR="00000000" w:rsidDel="00000000" w:rsidP="00000000" w:rsidRDefault="00000000" w:rsidRPr="00000000">
      <w:pPr>
        <w:ind w:left="0" w:firstLine="0"/>
        <w:contextualSpacing w:val="0"/>
        <w:jc w:val="center"/>
      </w:pPr>
      <w:r w:rsidDel="00000000" w:rsidR="00000000" w:rsidRPr="00000000">
        <w:rPr>
          <w:rtl w:val="0"/>
        </w:rPr>
      </w:r>
    </w:p>
    <w:p w:rsidR="00000000" w:rsidDel="00000000" w:rsidP="00000000" w:rsidRDefault="00000000" w:rsidRPr="00000000">
      <w:pPr>
        <w:ind w:left="0" w:firstLine="0"/>
        <w:contextualSpacing w:val="0"/>
        <w:jc w:val="center"/>
      </w:pPr>
      <w:r w:rsidDel="00000000" w:rsidR="00000000" w:rsidRPr="00000000">
        <w:rPr>
          <w:rFonts w:ascii="Times New Roman" w:cs="Times New Roman" w:eastAsia="Times New Roman" w:hAnsi="Times New Roman"/>
          <w:b w:val="1"/>
          <w:sz w:val="28"/>
          <w:szCs w:val="28"/>
          <w:rtl w:val="0"/>
        </w:rPr>
        <w:t xml:space="preserve">What Does the Decline in the International Ranking of the United States in Educational Attainment Mean for Community Colleges?</w:t>
      </w:r>
    </w:p>
    <w:p w:rsidR="00000000" w:rsidDel="00000000" w:rsidP="00000000" w:rsidRDefault="00000000" w:rsidRPr="00000000">
      <w:pPr>
        <w:ind w:left="0" w:firstLine="0"/>
        <w:contextualSpacing w:val="0"/>
        <w:jc w:val="center"/>
      </w:pPr>
      <w:r w:rsidDel="00000000" w:rsidR="00000000" w:rsidRPr="00000000">
        <w:rPr>
          <w:rtl w:val="0"/>
        </w:rPr>
      </w:r>
    </w:p>
    <w:p w:rsidR="00000000" w:rsidDel="00000000" w:rsidP="00000000" w:rsidRDefault="00000000" w:rsidRPr="00000000">
      <w:pPr>
        <w:ind w:left="0" w:firstLine="0"/>
        <w:contextualSpacing w:val="0"/>
        <w:jc w:val="center"/>
      </w:pPr>
      <w:r w:rsidDel="00000000" w:rsidR="00000000" w:rsidRPr="00000000">
        <w:rPr>
          <w:rtl w:val="0"/>
        </w:rPr>
      </w:r>
    </w:p>
    <w:p w:rsidR="00000000" w:rsidDel="00000000" w:rsidP="00000000" w:rsidRDefault="00000000" w:rsidRPr="00000000">
      <w:pPr>
        <w:ind w:left="0" w:firstLine="0"/>
        <w:contextualSpacing w:val="0"/>
        <w:jc w:val="center"/>
      </w:pPr>
      <w:r w:rsidDel="00000000" w:rsidR="00000000" w:rsidRPr="00000000">
        <w:rPr>
          <w:rtl w:val="0"/>
        </w:rPr>
      </w:r>
    </w:p>
    <w:p w:rsidR="00000000" w:rsidDel="00000000" w:rsidP="00000000" w:rsidRDefault="00000000" w:rsidRPr="00000000">
      <w:pPr>
        <w:ind w:left="0" w:firstLine="0"/>
        <w:contextualSpacing w:val="0"/>
        <w:jc w:val="center"/>
      </w:pPr>
      <w:r w:rsidDel="00000000" w:rsidR="00000000" w:rsidRPr="00000000">
        <w:rPr>
          <w:rtl w:val="0"/>
        </w:rPr>
      </w:r>
    </w:p>
    <w:p w:rsidR="00000000" w:rsidDel="00000000" w:rsidP="00000000" w:rsidRDefault="00000000" w:rsidRPr="00000000">
      <w:pPr>
        <w:ind w:left="0" w:firstLine="0"/>
        <w:contextualSpacing w:val="0"/>
        <w:jc w:val="center"/>
      </w:pPr>
      <w:r w:rsidDel="00000000" w:rsidR="00000000" w:rsidRPr="00000000">
        <w:rPr>
          <w:rFonts w:ascii="Times New Roman" w:cs="Times New Roman" w:eastAsia="Times New Roman" w:hAnsi="Times New Roman"/>
          <w:sz w:val="28"/>
          <w:szCs w:val="28"/>
          <w:rtl w:val="0"/>
        </w:rPr>
        <w:t xml:space="preserve">Michael L. Skolnik</w:t>
      </w:r>
    </w:p>
    <w:p w:rsidR="00000000" w:rsidDel="00000000" w:rsidP="00000000" w:rsidRDefault="00000000" w:rsidRPr="00000000">
      <w:pPr>
        <w:ind w:left="0" w:firstLine="0"/>
        <w:contextualSpacing w:val="0"/>
        <w:jc w:val="center"/>
      </w:pPr>
      <w:r w:rsidDel="00000000" w:rsidR="00000000" w:rsidRPr="00000000">
        <w:rPr>
          <w:rtl w:val="0"/>
        </w:rPr>
      </w:r>
    </w:p>
    <w:p w:rsidR="00000000" w:rsidDel="00000000" w:rsidP="00000000" w:rsidRDefault="00000000" w:rsidRPr="00000000">
      <w:pPr>
        <w:ind w:left="0" w:firstLine="0"/>
        <w:contextualSpacing w:val="0"/>
        <w:jc w:val="center"/>
      </w:pPr>
      <w:r w:rsidDel="00000000" w:rsidR="00000000" w:rsidRPr="00000000">
        <w:rPr>
          <w:rFonts w:ascii="Times New Roman" w:cs="Times New Roman" w:eastAsia="Times New Roman" w:hAnsi="Times New Roman"/>
          <w:sz w:val="28"/>
          <w:szCs w:val="28"/>
          <w:rtl w:val="0"/>
        </w:rPr>
        <w:t xml:space="preserve">Department of Leadership, Higher and Adult Education</w:t>
      </w:r>
    </w:p>
    <w:p w:rsidR="00000000" w:rsidDel="00000000" w:rsidP="00000000" w:rsidRDefault="00000000" w:rsidRPr="00000000">
      <w:pPr>
        <w:ind w:left="0" w:firstLine="0"/>
        <w:contextualSpacing w:val="0"/>
        <w:jc w:val="center"/>
      </w:pPr>
      <w:r w:rsidDel="00000000" w:rsidR="00000000" w:rsidRPr="00000000">
        <w:rPr>
          <w:rFonts w:ascii="Times New Roman" w:cs="Times New Roman" w:eastAsia="Times New Roman" w:hAnsi="Times New Roman"/>
          <w:sz w:val="28"/>
          <w:szCs w:val="28"/>
          <w:rtl w:val="0"/>
        </w:rPr>
        <w:t xml:space="preserve">Ontario Institute for Studies in Education</w:t>
      </w:r>
    </w:p>
    <w:p w:rsidR="00000000" w:rsidDel="00000000" w:rsidP="00000000" w:rsidRDefault="00000000" w:rsidRPr="00000000">
      <w:pPr>
        <w:ind w:left="0" w:firstLine="0"/>
        <w:contextualSpacing w:val="0"/>
        <w:jc w:val="center"/>
      </w:pPr>
      <w:r w:rsidDel="00000000" w:rsidR="00000000" w:rsidRPr="00000000">
        <w:rPr>
          <w:rFonts w:ascii="Times New Roman" w:cs="Times New Roman" w:eastAsia="Times New Roman" w:hAnsi="Times New Roman"/>
          <w:sz w:val="28"/>
          <w:szCs w:val="28"/>
          <w:rtl w:val="0"/>
        </w:rPr>
        <w:t xml:space="preserve">of the University of Toronto</w:t>
      </w:r>
    </w:p>
    <w:p w:rsidR="00000000" w:rsidDel="00000000" w:rsidP="00000000" w:rsidRDefault="00000000" w:rsidRPr="00000000">
      <w:pPr>
        <w:ind w:left="0" w:firstLine="0"/>
        <w:contextualSpacing w:val="0"/>
        <w:jc w:val="center"/>
      </w:pPr>
      <w:r w:rsidDel="00000000" w:rsidR="00000000" w:rsidRPr="00000000">
        <w:rPr>
          <w:rtl w:val="0"/>
        </w:rPr>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ind w:left="0" w:firstLine="0"/>
        <w:contextualSpacing w:val="0"/>
        <w:jc w:val="center"/>
      </w:pPr>
      <w:r w:rsidDel="00000000" w:rsidR="00000000" w:rsidRPr="00000000">
        <w:rPr>
          <w:rtl w:val="0"/>
        </w:rPr>
      </w:r>
    </w:p>
    <w:p w:rsidR="00000000" w:rsidDel="00000000" w:rsidP="00000000" w:rsidRDefault="00000000" w:rsidRPr="00000000">
      <w:pPr>
        <w:ind w:left="0" w:firstLine="0"/>
        <w:contextualSpacing w:val="0"/>
        <w:jc w:val="center"/>
      </w:pPr>
      <w:r w:rsidDel="00000000" w:rsidR="00000000" w:rsidRPr="00000000">
        <w:rPr>
          <w:rtl w:val="0"/>
        </w:rPr>
      </w:r>
    </w:p>
    <w:p w:rsidR="00000000" w:rsidDel="00000000" w:rsidP="00000000" w:rsidRDefault="00000000" w:rsidRPr="00000000">
      <w:pPr>
        <w:ind w:left="0" w:firstLine="0"/>
        <w:contextualSpacing w:val="0"/>
      </w:pPr>
      <w:r w:rsidDel="00000000" w:rsidR="00000000" w:rsidRPr="00000000">
        <w:rPr>
          <w:rtl w:val="0"/>
        </w:rPr>
      </w:r>
    </w:p>
    <w:p w:rsidR="00000000" w:rsidDel="00000000" w:rsidP="00000000" w:rsidRDefault="00000000" w:rsidRPr="00000000">
      <w:pPr>
        <w:contextualSpacing w:val="0"/>
        <w:jc w:val="center"/>
      </w:pPr>
      <w:r w:rsidDel="00000000" w:rsidR="00000000" w:rsidRPr="00000000">
        <w:rPr>
          <w:rFonts w:ascii="Times New Roman" w:cs="Times New Roman" w:eastAsia="Times New Roman" w:hAnsi="Times New Roman"/>
          <w:sz w:val="28"/>
          <w:szCs w:val="28"/>
          <w:rtl w:val="0"/>
        </w:rPr>
        <w:t xml:space="preserve">September 4, 2015</w:t>
      </w:r>
    </w:p>
    <w:p w:rsidR="00000000" w:rsidDel="00000000" w:rsidP="00000000" w:rsidRDefault="00000000" w:rsidRPr="00000000">
      <w:pPr>
        <w:contextualSpacing w:val="0"/>
        <w:jc w:val="center"/>
      </w:pPr>
      <w:r w:rsidDel="00000000" w:rsidR="00000000" w:rsidRPr="00000000">
        <w:rPr>
          <w:rtl w:val="0"/>
        </w:rPr>
      </w:r>
    </w:p>
    <w:p w:rsidR="00000000" w:rsidDel="00000000" w:rsidP="00000000" w:rsidRDefault="00000000" w:rsidRPr="00000000">
      <w:pPr>
        <w:contextualSpacing w:val="0"/>
        <w:jc w:val="center"/>
      </w:pPr>
      <w:r w:rsidDel="00000000" w:rsidR="00000000" w:rsidRPr="00000000">
        <w:rPr>
          <w:rtl w:val="0"/>
        </w:rPr>
      </w:r>
    </w:p>
    <w:p w:rsidR="00000000" w:rsidDel="00000000" w:rsidP="00000000" w:rsidRDefault="00000000" w:rsidRPr="00000000">
      <w:pPr>
        <w:contextualSpacing w:val="0"/>
        <w:jc w:val="center"/>
      </w:pPr>
      <w:r w:rsidDel="00000000" w:rsidR="00000000" w:rsidRPr="00000000">
        <w:rPr>
          <w:rtl w:val="0"/>
        </w:rPr>
      </w:r>
    </w:p>
    <w:p w:rsidR="00000000" w:rsidDel="00000000" w:rsidP="00000000" w:rsidRDefault="00000000" w:rsidRPr="00000000">
      <w:pPr>
        <w:contextualSpacing w:val="0"/>
        <w:jc w:val="center"/>
      </w:pPr>
      <w:r w:rsidDel="00000000" w:rsidR="00000000" w:rsidRPr="00000000">
        <w:rPr>
          <w:rtl w:val="0"/>
        </w:rPr>
      </w:r>
    </w:p>
    <w:p w:rsidR="00000000" w:rsidDel="00000000" w:rsidP="00000000" w:rsidRDefault="00000000" w:rsidRPr="00000000">
      <w:pPr>
        <w:ind w:left="0" w:firstLine="0"/>
        <w:contextualSpacing w:val="0"/>
        <w:jc w:val="center"/>
      </w:pPr>
      <w:r w:rsidDel="00000000" w:rsidR="00000000" w:rsidRPr="00000000">
        <w:rPr>
          <w:rFonts w:ascii="Times New Roman" w:cs="Times New Roman" w:eastAsia="Times New Roman" w:hAnsi="Times New Roman"/>
          <w:b w:val="1"/>
          <w:sz w:val="28"/>
          <w:szCs w:val="28"/>
          <w:rtl w:val="0"/>
        </w:rPr>
        <w:t xml:space="preserve">This manuscript is slated to appear in a forthcoming issue of the </w:t>
      </w:r>
      <w:r w:rsidDel="00000000" w:rsidR="00000000" w:rsidRPr="00000000">
        <w:rPr>
          <w:rFonts w:ascii="Times New Roman" w:cs="Times New Roman" w:eastAsia="Times New Roman" w:hAnsi="Times New Roman"/>
          <w:b w:val="1"/>
          <w:i w:val="1"/>
          <w:sz w:val="28"/>
          <w:szCs w:val="28"/>
          <w:rtl w:val="0"/>
        </w:rPr>
        <w:t xml:space="preserve">Community College Journal of Research &amp; Practice</w:t>
      </w:r>
      <w:r w:rsidDel="00000000" w:rsidR="00000000" w:rsidRPr="00000000">
        <w:rPr>
          <w:rtl w:val="0"/>
        </w:rPr>
      </w:r>
    </w:p>
    <w:p w:rsidR="00000000" w:rsidDel="00000000" w:rsidP="00000000" w:rsidRDefault="00000000" w:rsidRPr="00000000">
      <w:r w:rsidDel="00000000" w:rsidR="00000000" w:rsidRPr="00000000">
        <w:br w:type="page"/>
      </w:r>
    </w:p>
    <w:p w:rsidR="00000000" w:rsidDel="00000000" w:rsidP="00000000" w:rsidRDefault="00000000" w:rsidRPr="00000000">
      <w:pPr>
        <w:contextualSpacing w:val="0"/>
      </w:pPr>
      <w:bookmarkStart w:colFirst="0" w:colLast="0" w:name="h.gjdgxs" w:id="0"/>
      <w:bookmarkEnd w:id="0"/>
      <w:r w:rsidDel="00000000" w:rsidR="00000000" w:rsidRPr="00000000">
        <w:rPr>
          <w:rtl w:val="0"/>
        </w:rPr>
      </w:r>
    </w:p>
    <w:p w:rsidR="00000000" w:rsidDel="00000000" w:rsidP="00000000" w:rsidRDefault="00000000" w:rsidRPr="00000000">
      <w:pPr>
        <w:ind w:left="0" w:firstLine="0"/>
        <w:contextualSpacing w:val="0"/>
        <w:jc w:val="center"/>
      </w:pPr>
      <w:r w:rsidDel="00000000" w:rsidR="00000000" w:rsidRPr="00000000">
        <w:rPr>
          <w:rFonts w:ascii="Times New Roman" w:cs="Times New Roman" w:eastAsia="Times New Roman" w:hAnsi="Times New Roman"/>
          <w:b w:val="1"/>
          <w:sz w:val="28"/>
          <w:szCs w:val="28"/>
          <w:rtl w:val="0"/>
        </w:rPr>
        <w:t xml:space="preserve">What Does the Decline in the International Ranking of the United States in Educational Attainment Mean for Community Colleges?</w:t>
      </w:r>
    </w:p>
    <w:p w:rsidR="00000000" w:rsidDel="00000000" w:rsidP="00000000" w:rsidRDefault="00000000" w:rsidRPr="00000000">
      <w:pPr>
        <w:ind w:left="0" w:firstLine="0"/>
        <w:contextualSpacing w:val="0"/>
        <w:jc w:val="center"/>
      </w:pPr>
      <w:r w:rsidDel="00000000" w:rsidR="00000000" w:rsidRPr="00000000">
        <w:rPr>
          <w:rtl w:val="0"/>
        </w:rPr>
      </w:r>
    </w:p>
    <w:p w:rsidR="00000000" w:rsidDel="00000000" w:rsidP="00000000" w:rsidRDefault="00000000" w:rsidRPr="00000000">
      <w:pPr>
        <w:ind w:left="0" w:firstLine="0"/>
        <w:contextualSpacing w:val="0"/>
        <w:jc w:val="center"/>
      </w:pPr>
      <w:r w:rsidDel="00000000" w:rsidR="00000000" w:rsidRPr="00000000">
        <w:rPr>
          <w:rFonts w:ascii="Times New Roman" w:cs="Times New Roman" w:eastAsia="Times New Roman" w:hAnsi="Times New Roman"/>
          <w:b w:val="1"/>
          <w:sz w:val="28"/>
          <w:szCs w:val="28"/>
          <w:u w:val="single"/>
          <w:rtl w:val="0"/>
        </w:rPr>
        <w:t xml:space="preserve">Abstract</w:t>
      </w:r>
      <w:r w:rsidDel="00000000" w:rsidR="00000000" w:rsidRPr="00000000">
        <w:rPr>
          <w:rtl w:val="0"/>
        </w:rPr>
      </w:r>
    </w:p>
    <w:p w:rsidR="00000000" w:rsidDel="00000000" w:rsidP="00000000" w:rsidRDefault="00000000" w:rsidRPr="00000000">
      <w:pPr>
        <w:ind w:left="0" w:firstLine="0"/>
        <w:contextualSpacing w:val="0"/>
        <w:jc w:val="center"/>
      </w:pPr>
      <w:r w:rsidDel="00000000" w:rsidR="00000000" w:rsidRPr="00000000">
        <w:rPr>
          <w:rtl w:val="0"/>
        </w:rPr>
      </w:r>
    </w:p>
    <w:p w:rsidR="00000000" w:rsidDel="00000000" w:rsidP="00000000" w:rsidRDefault="00000000" w:rsidRPr="00000000">
      <w:pPr>
        <w:ind w:left="0" w:firstLine="0"/>
        <w:contextualSpacing w:val="0"/>
        <w:jc w:val="center"/>
      </w:pPr>
      <w:r w:rsidDel="00000000" w:rsidR="00000000" w:rsidRPr="00000000">
        <w:rPr>
          <w:rtl w:val="0"/>
        </w:rPr>
      </w:r>
    </w:p>
    <w:p w:rsidR="00000000" w:rsidDel="00000000" w:rsidP="00000000" w:rsidRDefault="00000000" w:rsidRPr="00000000">
      <w:pPr>
        <w:spacing w:line="480" w:lineRule="auto"/>
        <w:ind w:left="0" w:firstLine="0"/>
        <w:contextualSpacing w:val="0"/>
      </w:pPr>
      <w:r w:rsidDel="00000000" w:rsidR="00000000" w:rsidRPr="00000000">
        <w:rPr>
          <w:rFonts w:ascii="Times New Roman" w:cs="Times New Roman" w:eastAsia="Times New Roman" w:hAnsi="Times New Roman"/>
          <w:sz w:val="24"/>
          <w:szCs w:val="24"/>
          <w:rtl w:val="0"/>
        </w:rPr>
        <w:t xml:space="preserve">This article was written in response to concerns that have been expressed about the possible consequences of an increasing number of countries overtaking the United States in educational attainment. International statistics on educational attainment are analyzed, questions about comparability of data are discussed, and the impact of different approaches to the organization of higher education on attainment rates is examined. The author concludes that comparing the rate of attainment of sub-baccalaureate credentials between the United States and other countries is problematic both because of definitional issues and as a consequence of the major transfer function of American community colleges. The article explains how colleges that previously offered short term vocational training in many European countries have evolved into vocationally-oriented baccalaureate granting institutions that have enabled their nations to achieve rapidly rising levels of baccalaureate degree attainment. It suggests that the experience of these countries may provide useful lessons – and cautions – for policy makers and educational leaders with respect to expanding the role of community colleges in awarding baccalaureate degrees.   </w:t>
      </w:r>
    </w:p>
    <w:p w:rsidR="00000000" w:rsidDel="00000000" w:rsidP="00000000" w:rsidRDefault="00000000" w:rsidRPr="00000000">
      <w:pPr>
        <w:ind w:left="0" w:firstLine="0"/>
        <w:contextualSpacing w:val="0"/>
        <w:jc w:val="center"/>
      </w:pPr>
      <w:r w:rsidDel="00000000" w:rsidR="00000000" w:rsidRPr="00000000">
        <w:rPr>
          <w:rtl w:val="0"/>
        </w:rPr>
      </w:r>
    </w:p>
    <w:p w:rsidR="00000000" w:rsidDel="00000000" w:rsidP="00000000" w:rsidRDefault="00000000" w:rsidRPr="00000000">
      <w:pPr>
        <w:ind w:left="0" w:firstLine="0"/>
        <w:contextualSpacing w:val="0"/>
        <w:jc w:val="center"/>
      </w:pPr>
      <w:r w:rsidDel="00000000" w:rsidR="00000000" w:rsidRPr="00000000">
        <w:rPr>
          <w:rtl w:val="0"/>
        </w:rPr>
      </w:r>
    </w:p>
    <w:p w:rsidR="00000000" w:rsidDel="00000000" w:rsidP="00000000" w:rsidRDefault="00000000" w:rsidRPr="00000000">
      <w:pPr>
        <w:ind w:left="0" w:firstLine="0"/>
        <w:contextualSpacing w:val="0"/>
        <w:jc w:val="center"/>
      </w:pPr>
      <w:r w:rsidDel="00000000" w:rsidR="00000000" w:rsidRPr="00000000">
        <w:rPr>
          <w:rtl w:val="0"/>
        </w:rPr>
      </w:r>
    </w:p>
    <w:p w:rsidR="00000000" w:rsidDel="00000000" w:rsidP="00000000" w:rsidRDefault="00000000" w:rsidRPr="00000000">
      <w:pPr>
        <w:ind w:left="0" w:firstLine="0"/>
        <w:contextualSpacing w:val="0"/>
        <w:jc w:val="center"/>
      </w:pPr>
      <w:r w:rsidDel="00000000" w:rsidR="00000000" w:rsidRPr="00000000">
        <w:rPr>
          <w:rtl w:val="0"/>
        </w:rPr>
      </w:r>
    </w:p>
    <w:p w:rsidR="00000000" w:rsidDel="00000000" w:rsidP="00000000" w:rsidRDefault="00000000" w:rsidRPr="00000000">
      <w:pPr>
        <w:contextualSpacing w:val="0"/>
        <w:jc w:val="center"/>
      </w:pPr>
      <w:r w:rsidDel="00000000" w:rsidR="00000000" w:rsidRPr="00000000">
        <w:rPr>
          <w:rtl w:val="0"/>
        </w:rPr>
      </w:r>
    </w:p>
    <w:p w:rsidR="00000000" w:rsidDel="00000000" w:rsidP="00000000" w:rsidRDefault="00000000" w:rsidRPr="00000000">
      <w:pPr>
        <w:contextualSpacing w:val="0"/>
        <w:jc w:val="center"/>
      </w:pPr>
      <w:r w:rsidDel="00000000" w:rsidR="00000000" w:rsidRPr="00000000">
        <w:rPr>
          <w:rtl w:val="0"/>
        </w:rPr>
      </w:r>
    </w:p>
    <w:p w:rsidR="00000000" w:rsidDel="00000000" w:rsidP="00000000" w:rsidRDefault="00000000" w:rsidRPr="00000000">
      <w:pPr>
        <w:contextualSpacing w:val="0"/>
        <w:jc w:val="center"/>
      </w:pPr>
      <w:r w:rsidDel="00000000" w:rsidR="00000000" w:rsidRPr="00000000">
        <w:rPr>
          <w:rtl w:val="0"/>
        </w:rPr>
      </w:r>
    </w:p>
    <w:p w:rsidR="00000000" w:rsidDel="00000000" w:rsidP="00000000" w:rsidRDefault="00000000" w:rsidRPr="00000000">
      <w:r w:rsidDel="00000000" w:rsidR="00000000" w:rsidRPr="00000000">
        <w:br w:type="page"/>
      </w:r>
    </w:p>
    <w:p w:rsidR="00000000" w:rsidDel="00000000" w:rsidP="00000000" w:rsidRDefault="00000000" w:rsidRPr="00000000">
      <w:pPr>
        <w:contextualSpacing w:val="0"/>
        <w:jc w:val="center"/>
      </w:pPr>
      <w:r w:rsidDel="00000000" w:rsidR="00000000" w:rsidRPr="00000000">
        <w:rPr>
          <w:rFonts w:ascii="Times New Roman" w:cs="Times New Roman" w:eastAsia="Times New Roman" w:hAnsi="Times New Roman"/>
          <w:b w:val="1"/>
          <w:sz w:val="28"/>
          <w:szCs w:val="28"/>
          <w:rtl w:val="0"/>
        </w:rPr>
        <w:t xml:space="preserve">What Does the Decline in the International Ranking of the United States in Educational Attainment Mean for Community Colleges?</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spacing w:line="480" w:lineRule="auto"/>
        <w:ind w:left="0" w:firstLine="0"/>
        <w:contextualSpacing w:val="0"/>
      </w:pPr>
      <w:r w:rsidDel="00000000" w:rsidR="00000000" w:rsidRPr="00000000">
        <w:rPr>
          <w:rFonts w:ascii="Times New Roman" w:cs="Times New Roman" w:eastAsia="Times New Roman" w:hAnsi="Times New Roman"/>
          <w:sz w:val="24"/>
          <w:szCs w:val="24"/>
          <w:rtl w:val="0"/>
        </w:rPr>
        <w:t xml:space="preserve">In recent years, considerable concern has been voiced in the United States about the decline in its international ranking in educational attainment (Bernstein, 2013; College Board, 2008; Gentile, 2010; Lewin, 2010; Pell Institute, 2011; Gordon, 2013; Will, 2014; Lumina Foundation, 2015a; 2015b). Hauptman suggests that during the past decade how the United States compares to other OECD countries in the percentage of the population that has attained a college degree “has come to dominate the higher education debate” in the country (Hauptman, 2013, p. 24). A major reason for the interest in the relative position of the United States in these rankings is the presumed connection between educational attainment and economic competitiveness in an increasingly globalized marketplace. As a 2011 report by the Pell Institute for the Study of Economic Opportunity explained, “many believe that the nation’s standing and competitiveness is being jeopardized as numerous countries begin and continue to surpass the United States in degree attainment” (Pell Institute, 2011, p. 1). </w:t>
      </w:r>
    </w:p>
    <w:p w:rsidR="00000000" w:rsidDel="00000000" w:rsidP="00000000" w:rsidRDefault="00000000" w:rsidRPr="00000000">
      <w:pPr>
        <w:spacing w:line="480" w:lineRule="auto"/>
        <w:ind w:left="0" w:firstLine="720"/>
        <w:contextualSpacing w:val="0"/>
      </w:pPr>
      <w:r w:rsidDel="00000000" w:rsidR="00000000" w:rsidRPr="00000000">
        <w:rPr>
          <w:rFonts w:ascii="Times New Roman" w:cs="Times New Roman" w:eastAsia="Times New Roman" w:hAnsi="Times New Roman"/>
          <w:sz w:val="24"/>
          <w:szCs w:val="24"/>
          <w:rtl w:val="0"/>
        </w:rPr>
        <w:t xml:space="preserve">In 2012, the United States was tied for 12</w:t>
      </w:r>
      <w:r w:rsidDel="00000000" w:rsidR="00000000" w:rsidRPr="00000000">
        <w:rPr>
          <w:rFonts w:ascii="Times New Roman" w:cs="Times New Roman" w:eastAsia="Times New Roman" w:hAnsi="Times New Roman"/>
          <w:sz w:val="24"/>
          <w:szCs w:val="24"/>
          <w:vertAlign w:val="superscript"/>
          <w:rtl w:val="0"/>
        </w:rPr>
        <w:t xml:space="preserve">th</w:t>
      </w:r>
      <w:r w:rsidDel="00000000" w:rsidR="00000000" w:rsidRPr="00000000">
        <w:rPr>
          <w:rFonts w:ascii="Times New Roman" w:cs="Times New Roman" w:eastAsia="Times New Roman" w:hAnsi="Times New Roman"/>
          <w:sz w:val="24"/>
          <w:szCs w:val="24"/>
          <w:rtl w:val="0"/>
        </w:rPr>
        <w:t xml:space="preserve"> among OECD nations in the proportion of the population aged 25-34 that had attained at least a baccalaureate degree (OECD, 2014a), whereas just ten years earlier it had ranked first (OECD, 2004). In reaction to this decline, many educational and political leaders have urged that the United States adopt the goal of substantially increasing its rate of educational attainment, if not restoring its world leadership in that indicator. In his first joint address to Congress President Obama set a goal “</w:t>
      </w:r>
      <w:r w:rsidDel="00000000" w:rsidR="00000000" w:rsidRPr="00000000">
        <w:rPr>
          <w:rFonts w:ascii="Times New Roman" w:cs="Times New Roman" w:eastAsia="Times New Roman" w:hAnsi="Times New Roman"/>
          <w:color w:val="221e1f"/>
          <w:sz w:val="24"/>
          <w:szCs w:val="24"/>
          <w:rtl w:val="0"/>
        </w:rPr>
        <w:t xml:space="preserve">that the nation should once again have the highest proportion of college graduates in the world by the year 2020” (U.S. Department of Education, 2011). </w:t>
      </w:r>
      <w:r w:rsidDel="00000000" w:rsidR="00000000" w:rsidRPr="00000000">
        <w:rPr>
          <w:rtl w:val="0"/>
        </w:rPr>
      </w:r>
    </w:p>
    <w:p w:rsidR="00000000" w:rsidDel="00000000" w:rsidP="00000000" w:rsidRDefault="00000000" w:rsidRPr="00000000">
      <w:pPr>
        <w:spacing w:line="480" w:lineRule="auto"/>
        <w:ind w:left="0" w:firstLine="720"/>
        <w:contextualSpacing w:val="0"/>
      </w:pPr>
      <w:r w:rsidDel="00000000" w:rsidR="00000000" w:rsidRPr="00000000">
        <w:rPr>
          <w:rFonts w:ascii="Times New Roman" w:cs="Times New Roman" w:eastAsia="Times New Roman" w:hAnsi="Times New Roman"/>
          <w:sz w:val="24"/>
          <w:szCs w:val="24"/>
          <w:rtl w:val="0"/>
        </w:rPr>
        <w:t xml:space="preserve">This article discusses the implications of international comparisons of educational attainment for American community colleges. The article begins by probing deeper into the statistics from which some observers have drawn conclusions about the state of American higher education. It identifies some problems of international comparability, particularly for sub-baccalaureate credentials, and it critiques some uses that have been made of the statistics. The section after that one identifies two developments that could impact comparisons of baccalaureate degree attainment rates: changes in the requirements for a baccalaureate degree in Bologna countries, and changes in the organization of higher education in some countries. In elaboration in the second of those developments, the following section compares the American and European models for facilitating baccalaureate degree attainment for students who begin postsecondary education in a career-focused program. The section notes the role that a baccalaureate granting sector composed of career-focused institutions has played in boosting baccalaureate degree attainment rates in Europe, and it describes how the reliance on transfer in the American model may have a depressing effect on its sub-baccalaureate attainment rate. The concluding section comments briefly on the significance of the decline in the ranking of the United States in educational attainment, and it summarizes key implications of international comparisons of rates of educational attainment for community colleges.</w:t>
      </w:r>
    </w:p>
    <w:p w:rsidR="00000000" w:rsidDel="00000000" w:rsidP="00000000" w:rsidRDefault="00000000" w:rsidRPr="00000000">
      <w:pPr>
        <w:spacing w:line="480" w:lineRule="auto"/>
        <w:ind w:left="0" w:firstLine="0"/>
        <w:contextualSpacing w:val="0"/>
      </w:pPr>
      <w:r w:rsidDel="00000000" w:rsidR="00000000" w:rsidRPr="00000000">
        <w:rPr>
          <w:rtl w:val="0"/>
        </w:rPr>
      </w:r>
    </w:p>
    <w:p w:rsidR="00000000" w:rsidDel="00000000" w:rsidP="00000000" w:rsidRDefault="00000000" w:rsidRPr="00000000">
      <w:pPr>
        <w:spacing w:line="480" w:lineRule="auto"/>
        <w:ind w:left="0" w:firstLine="0"/>
        <w:contextualSpacing w:val="0"/>
        <w:jc w:val="center"/>
      </w:pPr>
      <w:r w:rsidDel="00000000" w:rsidR="00000000" w:rsidRPr="00000000">
        <w:rPr>
          <w:rFonts w:ascii="Times New Roman" w:cs="Times New Roman" w:eastAsia="Times New Roman" w:hAnsi="Times New Roman"/>
          <w:b w:val="1"/>
          <w:sz w:val="24"/>
          <w:szCs w:val="24"/>
          <w:rtl w:val="0"/>
        </w:rPr>
        <w:t xml:space="preserve">INTERNATIONAL COMPARISONS OF EDUCATIONAL ATTAINMENT</w:t>
      </w:r>
    </w:p>
    <w:p w:rsidR="00000000" w:rsidDel="00000000" w:rsidP="00000000" w:rsidRDefault="00000000" w:rsidRPr="00000000">
      <w:pPr>
        <w:spacing w:line="480" w:lineRule="auto"/>
        <w:ind w:left="0" w:firstLine="0"/>
        <w:contextualSpacing w:val="0"/>
      </w:pPr>
      <w:r w:rsidDel="00000000" w:rsidR="00000000" w:rsidRPr="00000000">
        <w:rPr>
          <w:rFonts w:ascii="Times New Roman" w:cs="Times New Roman" w:eastAsia="Times New Roman" w:hAnsi="Times New Roman"/>
          <w:sz w:val="24"/>
          <w:szCs w:val="24"/>
          <w:rtl w:val="0"/>
        </w:rPr>
        <w:t xml:space="preserve">The principal data source for international comparisons of educational attainment is the OECD annual publication, </w:t>
      </w:r>
      <w:r w:rsidDel="00000000" w:rsidR="00000000" w:rsidRPr="00000000">
        <w:rPr>
          <w:rFonts w:ascii="Times New Roman" w:cs="Times New Roman" w:eastAsia="Times New Roman" w:hAnsi="Times New Roman"/>
          <w:i w:val="1"/>
          <w:sz w:val="24"/>
          <w:szCs w:val="24"/>
          <w:rtl w:val="0"/>
        </w:rPr>
        <w:t xml:space="preserve">Education at a Glance</w:t>
      </w:r>
      <w:r w:rsidDel="00000000" w:rsidR="00000000" w:rsidRPr="00000000">
        <w:rPr>
          <w:rFonts w:ascii="Times New Roman" w:cs="Times New Roman" w:eastAsia="Times New Roman" w:hAnsi="Times New Roman"/>
          <w:sz w:val="24"/>
          <w:szCs w:val="24"/>
          <w:rtl w:val="0"/>
        </w:rPr>
        <w:t xml:space="preserve">, which regularly contains a section on educational attainment statistics. The OECD data on postsecondary educational attainment differentiate between two categories: “Tertiary-type A or advanced research programmes” (referred to here as ‘Tertiary A’), and “Tertiary-type B”, referred to here as ‘Tertiary B’ (OECD, 2014a). One of the major distinctions between these two categories is that Tertiary A programs are expected to have a more theoretical orientation and Tertiary B programs a more applied orientation. The basis for the distinction is the International Standard Classification of Education 1997, known as ISCED 1997 (UNESCO, 2006). According to the ISCED 1997, first stage Tertiary A programs are “largely theoretically based and are intended to provide sufficient qualifications for gaining entry into advanced research programmes and professions with high skill requirements” (UNESCO, 2006, p. 35). In contrast, the ISCED 97 defines a Tertiary B program as “practically oriented” and “occupationally specific”, being “mainly designed for participants to acquire practical skills and know-how needed for employment in a particular occupation or trade or class of occupations or trades” (UNESCO, 2006, p. 36).</w:t>
      </w:r>
    </w:p>
    <w:p w:rsidR="00000000" w:rsidDel="00000000" w:rsidP="00000000" w:rsidRDefault="00000000" w:rsidRPr="00000000">
      <w:pPr>
        <w:spacing w:line="480" w:lineRule="auto"/>
        <w:ind w:left="0" w:firstLine="720"/>
        <w:contextualSpacing w:val="0"/>
      </w:pPr>
      <w:r w:rsidDel="00000000" w:rsidR="00000000" w:rsidRPr="00000000">
        <w:rPr>
          <w:rFonts w:ascii="Times New Roman" w:cs="Times New Roman" w:eastAsia="Times New Roman" w:hAnsi="Times New Roman"/>
          <w:sz w:val="24"/>
          <w:szCs w:val="24"/>
          <w:rtl w:val="0"/>
        </w:rPr>
        <w:t xml:space="preserve">However, other considerations, such as program duration, also go into classifying programs (OECD, 1999). Graduates of Tertiary A programs normally earn a baccalaureate or higher degree, and graduates of Tertiary B programs earn a different credential such as an associate degree, a diploma or a certificate. Academic associate degree programs create a conundrum for statisticians, because they have the theoretical orientation of a Tertiary A program, but the duration of a Tertiary B program. As a compromise, these programs are classified as Tertiary A for purposes of enrolment statistics, but their graduates are counted in the Tertiary B educational attainment statistics. Graduation from a baccalaureate programs is treated as Tertiary A attainment regardless of the orientation of the program.  </w:t>
      </w:r>
    </w:p>
    <w:p w:rsidR="00000000" w:rsidDel="00000000" w:rsidP="00000000" w:rsidRDefault="00000000" w:rsidRPr="00000000">
      <w:pPr>
        <w:spacing w:line="480" w:lineRule="auto"/>
        <w:ind w:left="0" w:firstLine="720"/>
        <w:contextualSpacing w:val="0"/>
      </w:pPr>
      <w:r w:rsidDel="00000000" w:rsidR="00000000" w:rsidRPr="00000000">
        <w:rPr>
          <w:rFonts w:ascii="Times New Roman" w:cs="Times New Roman" w:eastAsia="Times New Roman" w:hAnsi="Times New Roman"/>
          <w:sz w:val="24"/>
          <w:szCs w:val="24"/>
          <w:rtl w:val="0"/>
        </w:rPr>
        <w:t xml:space="preserve">Since the principal Tertiary B credential in the United States is an associate degree, the tendency in the United States is to refer to Tertiary B as a “sub-baccalaureate” credential (e.g., Hauptman, 2013). However, some regard the applied orientation of many Tertiary B programs as being so different from the more theoretical orientation of Tertiary A programs that the programs cannot be hierarchically ordered on a single scale. For this reason, in Canada, the term sub-baccalaureate is not used when referring to Tertiary B diploma programs. Since this article is intended for a mainly American audience, the term sub-baccalaureate will be used for convenience of exposition when referring to Tertiary B programs. </w:t>
      </w:r>
    </w:p>
    <w:p w:rsidR="00000000" w:rsidDel="00000000" w:rsidP="00000000" w:rsidRDefault="00000000" w:rsidRPr="00000000">
      <w:pPr>
        <w:spacing w:line="480" w:lineRule="auto"/>
        <w:ind w:left="0" w:firstLine="720"/>
        <w:contextualSpacing w:val="0"/>
      </w:pPr>
      <w:r w:rsidDel="00000000" w:rsidR="00000000" w:rsidRPr="00000000">
        <w:rPr>
          <w:rFonts w:ascii="Times New Roman" w:cs="Times New Roman" w:eastAsia="Times New Roman" w:hAnsi="Times New Roman"/>
          <w:sz w:val="24"/>
          <w:szCs w:val="24"/>
          <w:rtl w:val="0"/>
        </w:rPr>
        <w:t xml:space="preserve">Before noting some of the definitional problems with these categories of educational attainment, a comparison of the basic data for 2002 and 2012 is presented in Table 1. Table 1 shows the percentages of the population aged 25-64 in 2002 and 2012 whose highest level of education is Tertiary B or Tertiary A, and the total for the two categories, for the OECD countries for which data are available for both years. The table shows that the United States ranked second only to Canada in total tertiary attainment in 2002, and was exceeded by only Canada and Japan in 2012. In regard to Tertiary A attainment, the United States was first in 2002, and surpassed only by Norway in 2012.</w:t>
      </w:r>
    </w:p>
    <w:p w:rsidR="00000000" w:rsidDel="00000000" w:rsidP="00000000" w:rsidRDefault="00000000" w:rsidRPr="00000000">
      <w:pPr>
        <w:spacing w:line="480" w:lineRule="auto"/>
        <w:ind w:left="0" w:firstLine="720"/>
        <w:contextualSpacing w:val="0"/>
      </w:pPr>
      <w:r w:rsidDel="00000000" w:rsidR="00000000" w:rsidRPr="00000000">
        <w:rPr>
          <w:rFonts w:ascii="Times New Roman" w:cs="Times New Roman" w:eastAsia="Times New Roman" w:hAnsi="Times New Roman"/>
          <w:sz w:val="24"/>
          <w:szCs w:val="24"/>
          <w:rtl w:val="0"/>
        </w:rPr>
        <w:t xml:space="preserve">The table shows that the percentage of persons whose highest credential is a baccalaureate or higher degree almost always exceeds the percentage whose highest level of attainment is a sub-baccalaureate credential, often by a very large margin – as high as 17:1. The only cases where the figure for Tertiary B exceeded that for Tertiary A were Belgium, Canada, Finland and Mexico in 2002. In that year the figures were the same for both categories for Austria, France and New Zealand. Given the prominence of community colleges in the United States, it may seem surprising that the ranking of the United States is so low for attainment of a sub-baccalaureate credential, tied for 11</w:t>
      </w:r>
      <w:r w:rsidDel="00000000" w:rsidR="00000000" w:rsidRPr="00000000">
        <w:rPr>
          <w:rFonts w:ascii="Times New Roman" w:cs="Times New Roman" w:eastAsia="Times New Roman" w:hAnsi="Times New Roman"/>
          <w:sz w:val="24"/>
          <w:szCs w:val="24"/>
          <w:vertAlign w:val="superscript"/>
          <w:rtl w:val="0"/>
        </w:rPr>
        <w:t xml:space="preserve">th</w:t>
      </w:r>
      <w:r w:rsidDel="00000000" w:rsidR="00000000" w:rsidRPr="00000000">
        <w:rPr>
          <w:rFonts w:ascii="Times New Roman" w:cs="Times New Roman" w:eastAsia="Times New Roman" w:hAnsi="Times New Roman"/>
          <w:sz w:val="24"/>
          <w:szCs w:val="24"/>
          <w:rtl w:val="0"/>
        </w:rPr>
        <w:t xml:space="preserve"> in 2002, and tied for 13</w:t>
      </w:r>
      <w:r w:rsidDel="00000000" w:rsidR="00000000" w:rsidRPr="00000000">
        <w:rPr>
          <w:rFonts w:ascii="Times New Roman" w:cs="Times New Roman" w:eastAsia="Times New Roman" w:hAnsi="Times New Roman"/>
          <w:sz w:val="24"/>
          <w:szCs w:val="24"/>
          <w:vertAlign w:val="superscript"/>
          <w:rtl w:val="0"/>
        </w:rPr>
        <w:t xml:space="preserve">th</w:t>
      </w:r>
      <w:r w:rsidDel="00000000" w:rsidR="00000000" w:rsidRPr="00000000">
        <w:rPr>
          <w:rFonts w:ascii="Times New Roman" w:cs="Times New Roman" w:eastAsia="Times New Roman" w:hAnsi="Times New Roman"/>
          <w:sz w:val="24"/>
          <w:szCs w:val="24"/>
          <w:rtl w:val="0"/>
        </w:rPr>
        <w:t xml:space="preserve"> in 2012. </w:t>
      </w:r>
    </w:p>
    <w:p w:rsidR="00000000" w:rsidDel="00000000" w:rsidP="00000000" w:rsidRDefault="00000000" w:rsidRPr="00000000">
      <w:pPr>
        <w:spacing w:line="480" w:lineRule="auto"/>
        <w:ind w:left="0" w:firstLine="720"/>
        <w:contextualSpacing w:val="0"/>
      </w:pPr>
      <w:r w:rsidDel="00000000" w:rsidR="00000000" w:rsidRPr="00000000">
        <w:rPr>
          <w:rFonts w:ascii="Times New Roman" w:cs="Times New Roman" w:eastAsia="Times New Roman" w:hAnsi="Times New Roman"/>
          <w:sz w:val="24"/>
          <w:szCs w:val="24"/>
          <w:rtl w:val="0"/>
        </w:rPr>
        <w:t xml:space="preserve">There are a few factors that serve to make the Tertiary B attainment rate for the United States an inaccurate reflection of the impact of two-year institutions. For one thing, it is important to bear in mind that not everyone who has attained a sub-baccalaureate credential is counted in the Tertiary B attainment rate.  The educational attainment rate pertains only to the</w:t>
      </w:r>
      <w:r w:rsidDel="00000000" w:rsidR="00000000" w:rsidRPr="00000000">
        <w:rPr>
          <w:rFonts w:ascii="Times New Roman" w:cs="Times New Roman" w:eastAsia="Times New Roman" w:hAnsi="Times New Roman"/>
          <w:i w:val="1"/>
          <w:sz w:val="24"/>
          <w:szCs w:val="24"/>
          <w:rtl w:val="0"/>
        </w:rPr>
        <w:t xml:space="preserve"> highest</w:t>
      </w:r>
      <w:r w:rsidDel="00000000" w:rsidR="00000000" w:rsidRPr="00000000">
        <w:rPr>
          <w:rFonts w:ascii="Times New Roman" w:cs="Times New Roman" w:eastAsia="Times New Roman" w:hAnsi="Times New Roman"/>
          <w:sz w:val="24"/>
          <w:szCs w:val="24"/>
          <w:rtl w:val="0"/>
        </w:rPr>
        <w:t xml:space="preserve"> academic credential that a person has attained. Thus, a graduate of an associate degree program who subsequently obtains a baccalaureate degree would be counted </w:t>
      </w:r>
      <w:r w:rsidDel="00000000" w:rsidR="00000000" w:rsidRPr="00000000">
        <w:rPr>
          <w:rFonts w:ascii="Times New Roman" w:cs="Times New Roman" w:eastAsia="Times New Roman" w:hAnsi="Times New Roman"/>
          <w:i w:val="1"/>
          <w:sz w:val="24"/>
          <w:szCs w:val="24"/>
          <w:rtl w:val="0"/>
        </w:rPr>
        <w:t xml:space="preserve">only</w:t>
      </w:r>
      <w:r w:rsidDel="00000000" w:rsidR="00000000" w:rsidRPr="00000000">
        <w:rPr>
          <w:rFonts w:ascii="Times New Roman" w:cs="Times New Roman" w:eastAsia="Times New Roman" w:hAnsi="Times New Roman"/>
          <w:sz w:val="24"/>
          <w:szCs w:val="24"/>
          <w:rtl w:val="0"/>
        </w:rPr>
        <w:t xml:space="preserve"> in the Tertiary A attainment category. The difference between the percentage of the population that has earned a sub-baccalaureate credential and the percentage that is reported in the Tertiary B attainment category is probably greater for the United States than for most other countries because of the highly developed system of transfer in the United States. In many countries, transfer between different sectors of postsecondary education systems is neither mandated nor a common phenomenon.</w:t>
      </w:r>
    </w:p>
    <w:p w:rsidR="00000000" w:rsidDel="00000000" w:rsidP="00000000" w:rsidRDefault="00000000" w:rsidRPr="00000000">
      <w:pPr>
        <w:spacing w:after="0" w:before="0" w:line="480" w:lineRule="auto"/>
        <w:ind w:left="0" w:firstLine="720"/>
        <w:contextualSpacing w:val="0"/>
      </w:pPr>
      <w:r w:rsidDel="00000000" w:rsidR="00000000" w:rsidRPr="00000000">
        <w:rPr>
          <w:rFonts w:ascii="Times New Roman" w:cs="Times New Roman" w:eastAsia="Times New Roman" w:hAnsi="Times New Roman"/>
          <w:b w:val="0"/>
          <w:color w:val="000000"/>
          <w:sz w:val="24"/>
          <w:szCs w:val="24"/>
          <w:rtl w:val="0"/>
        </w:rPr>
        <w:t xml:space="preserve">In addition, the transfer system in the United States may exert a negative influence on the rate of attainment of sub-baccalaureate credentials in another way, by diminishing the incentive to complete all the course work that is required for an associate degree before transferring to a four-year institution. The National Student Clearinghouse Research Center found that for every 100 students with a two-year degree or certificate who transferred from a two-year to a four-year institution in 2005-06 in the United States, 177 students who did  not possess a two-year degree or certificate also transferred (Shapiro et al., 2013, Figure 4).  Since the baccalaureate degree completion rate was 28% higher for those who transferred with a two-year degree or certificate than for those without, the tendency of students to transfer before completing an associate degree also affects the total tertiary attainment rate. </w:t>
      </w:r>
    </w:p>
    <w:p w:rsidR="00000000" w:rsidDel="00000000" w:rsidP="00000000" w:rsidRDefault="00000000" w:rsidRPr="00000000">
      <w:pPr>
        <w:spacing w:line="480" w:lineRule="auto"/>
        <w:ind w:left="0" w:firstLine="720"/>
        <w:contextualSpacing w:val="0"/>
      </w:pPr>
      <w:r w:rsidDel="00000000" w:rsidR="00000000" w:rsidRPr="00000000">
        <w:rPr>
          <w:rFonts w:ascii="Times New Roman" w:cs="Times New Roman" w:eastAsia="Times New Roman" w:hAnsi="Times New Roman"/>
          <w:sz w:val="24"/>
          <w:szCs w:val="24"/>
          <w:rtl w:val="0"/>
        </w:rPr>
        <w:t xml:space="preserve">International comparisons of attainment of sub-baccalaureate credentials are fraught with other definitional and measurement problems as well. A major source of these problems is the difficulty of distinguishing between tertiary and non-tertiary education. It has been suggested that part of the reason for Canada’s high ranking in the attainment of sub-baccalaureate credentials is that some vocational training in Canada’s community colleges that is treated as tertiary education would not be so regarded in many other countries (OECD, 2012). Another problem with the Canadian figures arises from the unique structure of the educational system in Canada’s second largest province, Québec. The secondary school system in Québec ends with Grade 11, and thus a graduate of a two-year program in a community college might be viewed as having completed only one year of tertiary education in comparison with peers in other jurisdictions who would have completed two years of tertiary education.. After comparing Canadian data on sub-baccalaureate attainment with that of other countries, Norrie &amp; Lin (2009) expressed skepticism about the value of such international comparisons, and reported that “most observers feel that international comparisons of these data are not meaningful” (Norrie &amp; Lin, 2009, p. 8). To take another example, in Korea qualifications in hairdressing and coffee shop baristas are treated as tertiary whereas this would not be the case in the United States (Kuczera &amp; Field, 2013). </w:t>
      </w:r>
    </w:p>
    <w:p w:rsidR="00000000" w:rsidDel="00000000" w:rsidP="00000000" w:rsidRDefault="00000000" w:rsidRPr="00000000">
      <w:pPr>
        <w:spacing w:line="480" w:lineRule="auto"/>
        <w:ind w:left="0" w:firstLine="720"/>
        <w:contextualSpacing w:val="0"/>
      </w:pPr>
      <w:r w:rsidDel="00000000" w:rsidR="00000000" w:rsidRPr="00000000">
        <w:rPr>
          <w:rFonts w:ascii="Times New Roman" w:cs="Times New Roman" w:eastAsia="Times New Roman" w:hAnsi="Times New Roman"/>
          <w:sz w:val="24"/>
          <w:szCs w:val="24"/>
          <w:rtl w:val="0"/>
        </w:rPr>
        <w:t xml:space="preserve">An OECD study of vocational education in the United States noted also that while short-cycle certificates and industry certifications are not normally included in counts of tertiary qualifications in the United States for international comparison purposes, they do tend to be included in countries where such certifications are more regulated than they are in the United States (Kuczera &amp; Field, 2013). The study suggested that this omission is a major problem for the United States because “as many as 65 million people in the U.S. workforce may either have such certifications or the closely associated licenses to practice” (OECD, 2013, p. 16). A study by the Georgetown University Center on Education and the Workforce noted that while only 2 per cent of adults aged 18 and older had a certificate as their highest educational credential in 1984, that figure had grown to 12 per cent by 2009 (Carnevale, Rose, &amp; Hanson, 2012).</w:t>
      </w:r>
    </w:p>
    <w:p w:rsidR="00000000" w:rsidDel="00000000" w:rsidP="00000000" w:rsidRDefault="00000000" w:rsidRPr="00000000">
      <w:pPr>
        <w:ind w:left="0" w:firstLine="0"/>
        <w:contextualSpacing w:val="0"/>
      </w:pPr>
      <w:r w:rsidDel="00000000" w:rsidR="00000000" w:rsidRPr="00000000">
        <w:rPr>
          <w:rtl w:val="0"/>
        </w:rPr>
      </w:r>
    </w:p>
    <w:p w:rsidR="00000000" w:rsidDel="00000000" w:rsidP="00000000" w:rsidRDefault="00000000" w:rsidRPr="00000000">
      <w:pPr>
        <w:ind w:left="0" w:firstLine="0"/>
        <w:contextualSpacing w:val="0"/>
        <w:jc w:val="center"/>
      </w:pPr>
      <w:r w:rsidDel="00000000" w:rsidR="00000000" w:rsidRPr="00000000">
        <w:rPr>
          <w:rtl w:val="0"/>
        </w:rPr>
      </w:r>
    </w:p>
    <w:p w:rsidR="00000000" w:rsidDel="00000000" w:rsidP="00000000" w:rsidRDefault="00000000" w:rsidRPr="00000000">
      <w:pPr>
        <w:ind w:left="0" w:firstLine="0"/>
        <w:contextualSpacing w:val="0"/>
        <w:jc w:val="center"/>
      </w:pPr>
      <w:r w:rsidDel="00000000" w:rsidR="00000000" w:rsidRPr="00000000">
        <w:rPr>
          <w:rtl w:val="0"/>
        </w:rPr>
      </w:r>
    </w:p>
    <w:p w:rsidR="00000000" w:rsidDel="00000000" w:rsidP="00000000" w:rsidRDefault="00000000" w:rsidRPr="00000000">
      <w:pPr>
        <w:ind w:left="0" w:firstLine="0"/>
        <w:contextualSpacing w:val="0"/>
        <w:jc w:val="center"/>
      </w:pPr>
      <w:r w:rsidDel="00000000" w:rsidR="00000000" w:rsidRPr="00000000">
        <w:rPr>
          <w:rtl w:val="0"/>
        </w:rPr>
      </w:r>
    </w:p>
    <w:p w:rsidR="00000000" w:rsidDel="00000000" w:rsidP="00000000" w:rsidRDefault="00000000" w:rsidRPr="00000000">
      <w:pPr>
        <w:ind w:left="0" w:firstLine="0"/>
        <w:contextualSpacing w:val="0"/>
        <w:jc w:val="center"/>
      </w:pPr>
      <w:r w:rsidDel="00000000" w:rsidR="00000000" w:rsidRPr="00000000">
        <w:rPr>
          <w:rFonts w:ascii="Times New Roman" w:cs="Times New Roman" w:eastAsia="Times New Roman" w:hAnsi="Times New Roman"/>
          <w:b w:val="1"/>
          <w:sz w:val="24"/>
          <w:szCs w:val="24"/>
          <w:rtl w:val="0"/>
        </w:rPr>
        <w:t xml:space="preserve">RECENT TRENDS IN THE RATE OF BACCALAUREATE </w:t>
      </w:r>
    </w:p>
    <w:p w:rsidR="00000000" w:rsidDel="00000000" w:rsidP="00000000" w:rsidRDefault="00000000" w:rsidRPr="00000000">
      <w:pPr>
        <w:ind w:left="0" w:firstLine="0"/>
        <w:contextualSpacing w:val="0"/>
        <w:jc w:val="center"/>
      </w:pPr>
      <w:r w:rsidDel="00000000" w:rsidR="00000000" w:rsidRPr="00000000">
        <w:rPr>
          <w:rFonts w:ascii="Times New Roman" w:cs="Times New Roman" w:eastAsia="Times New Roman" w:hAnsi="Times New Roman"/>
          <w:b w:val="1"/>
          <w:sz w:val="24"/>
          <w:szCs w:val="24"/>
          <w:rtl w:val="0"/>
        </w:rPr>
        <w:t xml:space="preserve">DEGREE ATTAINMENT </w:t>
      </w:r>
    </w:p>
    <w:p w:rsidR="00000000" w:rsidDel="00000000" w:rsidP="00000000" w:rsidRDefault="00000000" w:rsidRPr="00000000">
      <w:pPr>
        <w:spacing w:line="480" w:lineRule="auto"/>
        <w:ind w:left="0" w:firstLine="0"/>
        <w:contextualSpacing w:val="0"/>
      </w:pPr>
      <w:r w:rsidDel="00000000" w:rsidR="00000000" w:rsidRPr="00000000">
        <w:rPr>
          <w:rtl w:val="0"/>
        </w:rPr>
      </w:r>
    </w:p>
    <w:p w:rsidR="00000000" w:rsidDel="00000000" w:rsidP="00000000" w:rsidRDefault="00000000" w:rsidRPr="00000000">
      <w:pPr>
        <w:spacing w:line="480" w:lineRule="auto"/>
        <w:ind w:left="0" w:firstLine="0"/>
        <w:contextualSpacing w:val="0"/>
      </w:pPr>
      <w:r w:rsidDel="00000000" w:rsidR="00000000" w:rsidRPr="00000000">
        <w:rPr>
          <w:rFonts w:ascii="Times New Roman" w:cs="Times New Roman" w:eastAsia="Times New Roman" w:hAnsi="Times New Roman"/>
          <w:sz w:val="24"/>
          <w:szCs w:val="24"/>
          <w:rtl w:val="0"/>
        </w:rPr>
        <w:t xml:space="preserve">Perhaps for the reasons outlined at the end of the previous section, more attention should be given to international comparisons of attainment of baccalaureate or higher degrees than to those on attainment of sub-baccalaureate credentials. Rather than concentrating on the attainment rate for the total working age population, some have urged focusing on the youngest age cohort, because, as the Lumina Foundation suggested, the degree attainment rate of young adults may be “the </w:t>
      </w:r>
      <w:r w:rsidDel="00000000" w:rsidR="00000000" w:rsidRPr="00000000">
        <w:rPr>
          <w:rFonts w:ascii="Times New Roman" w:cs="Times New Roman" w:eastAsia="Times New Roman" w:hAnsi="Times New Roman"/>
          <w:color w:val="221e1f"/>
          <w:sz w:val="24"/>
          <w:szCs w:val="24"/>
          <w:rtl w:val="0"/>
        </w:rPr>
        <w:t xml:space="preserve">best leading indicator of what will happen to the overall attainment rates in the future” (</w:t>
      </w:r>
      <w:r w:rsidDel="00000000" w:rsidR="00000000" w:rsidRPr="00000000">
        <w:rPr>
          <w:rFonts w:ascii="Times New Roman" w:cs="Times New Roman" w:eastAsia="Times New Roman" w:hAnsi="Times New Roman"/>
          <w:sz w:val="24"/>
          <w:szCs w:val="24"/>
          <w:rtl w:val="0"/>
        </w:rPr>
        <w:t xml:space="preserve">Lumina Foundation, 2015a, p. 2). </w:t>
      </w:r>
    </w:p>
    <w:p w:rsidR="00000000" w:rsidDel="00000000" w:rsidP="00000000" w:rsidRDefault="00000000" w:rsidRPr="00000000">
      <w:pPr>
        <w:spacing w:line="480" w:lineRule="auto"/>
        <w:ind w:left="0" w:firstLine="720"/>
        <w:contextualSpacing w:val="0"/>
      </w:pPr>
      <w:r w:rsidDel="00000000" w:rsidR="00000000" w:rsidRPr="00000000">
        <w:rPr>
          <w:rFonts w:ascii="Times New Roman" w:cs="Times New Roman" w:eastAsia="Times New Roman" w:hAnsi="Times New Roman"/>
          <w:sz w:val="24"/>
          <w:szCs w:val="24"/>
          <w:rtl w:val="0"/>
        </w:rPr>
        <w:t xml:space="preserve">The 2014 edition of </w:t>
      </w:r>
      <w:r w:rsidDel="00000000" w:rsidR="00000000" w:rsidRPr="00000000">
        <w:rPr>
          <w:rFonts w:ascii="Times New Roman" w:cs="Times New Roman" w:eastAsia="Times New Roman" w:hAnsi="Times New Roman"/>
          <w:i w:val="1"/>
          <w:sz w:val="24"/>
          <w:szCs w:val="24"/>
          <w:rtl w:val="0"/>
        </w:rPr>
        <w:t xml:space="preserve">Education at a Glance</w:t>
      </w:r>
      <w:r w:rsidDel="00000000" w:rsidR="00000000" w:rsidRPr="00000000">
        <w:rPr>
          <w:rFonts w:ascii="Times New Roman" w:cs="Times New Roman" w:eastAsia="Times New Roman" w:hAnsi="Times New Roman"/>
          <w:sz w:val="24"/>
          <w:szCs w:val="24"/>
          <w:rtl w:val="0"/>
        </w:rPr>
        <w:t xml:space="preserve"> shows that in 2012, the United States still had the highest Tertiary A attainment rate for the 55-64 age group; and the second highest in the 45-54 age group, trailing Norway by one percentage point (OECD, 2014a, Table A1.3a). In the 35-44 age group, the United States was tied with the United Kingdom for fifth, had a rate 6 percentage points below that of Norway, but was only a percentage point or two below the other three countries that had higher rates – Iceland, Israel, and Korea. It was only for the youngest age group, 25-34 year olds, that there was much daylight between the United States and other countries. It was tied for twelfth, and was five or more percentage points behind Norway, Poland, Korea, Netherlands, the United Kingdom and Finland.</w:t>
      </w:r>
    </w:p>
    <w:p w:rsidR="00000000" w:rsidDel="00000000" w:rsidP="00000000" w:rsidRDefault="00000000" w:rsidRPr="00000000">
      <w:pPr>
        <w:spacing w:line="480" w:lineRule="auto"/>
        <w:ind w:left="0" w:firstLine="720"/>
        <w:contextualSpacing w:val="0"/>
      </w:pPr>
      <w:r w:rsidDel="00000000" w:rsidR="00000000" w:rsidRPr="00000000">
        <w:rPr>
          <w:rFonts w:ascii="Times New Roman" w:cs="Times New Roman" w:eastAsia="Times New Roman" w:hAnsi="Times New Roman"/>
          <w:sz w:val="24"/>
          <w:szCs w:val="24"/>
          <w:rtl w:val="0"/>
        </w:rPr>
        <w:t xml:space="preserve">While it is perhaps noteworthy that the attainment rates of successive cohorts show greater increases for most other countries than they do for the United States, some commentators have cautioned about attempting to draw inferences about trends from comparisons among different age groups at a single point in time (Fry &amp; Parker, 2012; Hauptman, 2013). The reason for this concern can be seen by comparing the attainment rates for the baccalaureate or higher degree for the United States for the age groups 25-34 and 35-44 in 2012. In that year the rate for the 25-34 age group was 34 percent, and the rate for the 35-44 age group was 35 percent. Since a 35-year old in 2012 would have been 25 in 2002, one might be tempted to infer the trend in attainment rate for the 25-34 age group over this decade from the figures for the two age groups in 2012. This comparison would suggest that the rate for the 25-34 age group declined over the period, from 35 to 34. However, the actual rate for the 25-34 age group in 2002 was 31 (OECD, 2004). Thus instead of a decline between 2002 and 2012, the attainment rate for this age group actually increased by 9%. The problem with inferring trends from cross-section data at a single point in time is that “the educational levels of any particular age group change as they age” (Fry &amp; Parker, 2012, p. 16). </w:t>
      </w:r>
    </w:p>
    <w:p w:rsidR="00000000" w:rsidDel="00000000" w:rsidP="00000000" w:rsidRDefault="00000000" w:rsidRPr="00000000">
      <w:pPr>
        <w:spacing w:line="480" w:lineRule="auto"/>
        <w:ind w:left="0" w:firstLine="720"/>
        <w:contextualSpacing w:val="0"/>
      </w:pPr>
      <w:r w:rsidDel="00000000" w:rsidR="00000000" w:rsidRPr="00000000">
        <w:rPr>
          <w:rFonts w:ascii="Times New Roman" w:cs="Times New Roman" w:eastAsia="Times New Roman" w:hAnsi="Times New Roman"/>
          <w:sz w:val="24"/>
          <w:szCs w:val="24"/>
          <w:rtl w:val="0"/>
        </w:rPr>
        <w:t xml:space="preserve">While the baccalaureate attainment rate for the United States has not been declining, it has nevertheless been increasing much more slowly than in most other countries. Of 30 OECD countries for which data are available for both years, the 9% increase in the attainment rate of the United States for the 25-34 age group between 2002 and 2012 exceeded the rate for only one country, Spain which had an 8% increase. These rates of increase pale in comparison to the rates of increase for some of the countries that had higher attainment rates than the United States such as Finland, 86%; Netherlands, 60%; and Korea, 59%. It is perhaps noteworthy though that some of the countries that had large increases in their attainment rate for 25-34 year olds during the first decade of this century experienced substantial declines in the population of that age group, e.g., Korea, Japan, and the Netherlands (Hauptman, 2013). With a declining population, maintaining a constant level in the number of degrees produced would result in an increased attainment rate. However, as Hauptman notes, countries with high and increasing baccalaureate attainment rates combined with declines in the relevant age population might still experience shortages of highly educated workers. </w:t>
      </w:r>
    </w:p>
    <w:p w:rsidR="00000000" w:rsidDel="00000000" w:rsidP="00000000" w:rsidRDefault="00000000" w:rsidRPr="00000000">
      <w:pPr>
        <w:spacing w:line="480" w:lineRule="auto"/>
        <w:ind w:left="0" w:firstLine="720"/>
        <w:contextualSpacing w:val="0"/>
      </w:pPr>
      <w:r w:rsidDel="00000000" w:rsidR="00000000" w:rsidRPr="00000000">
        <w:rPr>
          <w:rFonts w:ascii="Times New Roman" w:cs="Times New Roman" w:eastAsia="Times New Roman" w:hAnsi="Times New Roman"/>
          <w:sz w:val="24"/>
          <w:szCs w:val="24"/>
          <w:rtl w:val="0"/>
        </w:rPr>
        <w:t xml:space="preserve">Besides changes in the population base, other factors that could influence attainment rates are changes in the requirements for different degrees and changes in the organization of higher education. It is not likely a coincidence that some spectacular increases in baccalaureate degree attainment rates for young people have occurred in countries that implemented changes in their academic degree structures as part of the Bologna Process. Whereas in many European countries, the typical length of time to earn a baccalaureate degree prior to Bologna was five, six or even seven years, during the first decade of this century that time was reduced to three or four years. In these countries academic bachelor’s degrees typically take three years, and professional or applied degrees four years, though some of the latter may take only three or three and a half years. It is important to note that in countries that subscribe to the Bologna Accord, a three-year baccalaureate degree constitutes 75% of the academic credits of a four-year degree (180 ECTS credits vs. 240 ECTS credits). However, in the United States, the relatively small number of what are called three-year baccalaureate degrees involve the same number of academic credits as a four-year baccalaureate degree, generally taken in an accelerated time frame (Bradley, Seidman, &amp; Painchaud, 2012). </w:t>
      </w:r>
    </w:p>
    <w:p w:rsidR="00000000" w:rsidDel="00000000" w:rsidP="00000000" w:rsidRDefault="00000000" w:rsidRPr="00000000">
      <w:pPr>
        <w:spacing w:line="480" w:lineRule="auto"/>
        <w:ind w:left="0" w:firstLine="720"/>
        <w:contextualSpacing w:val="0"/>
      </w:pPr>
      <w:r w:rsidDel="00000000" w:rsidR="00000000" w:rsidRPr="00000000">
        <w:rPr>
          <w:rFonts w:ascii="Times New Roman" w:cs="Times New Roman" w:eastAsia="Times New Roman" w:hAnsi="Times New Roman"/>
          <w:sz w:val="24"/>
          <w:szCs w:val="24"/>
          <w:rtl w:val="0"/>
        </w:rPr>
        <w:t xml:space="preserve"> It is a thorny problem to determine whether a three-year bachelor’s degree from, say a Norwegian university-college, is the equivalent of a four-year bachelor’s degree from an American university. While graduate school admissions offices have been wrestling with this issue for several years, it is difficult to find comprehensive, up-to-date information on how they are dealing with applicants who have a three-year undergraduate degree from a Bologna Accord country. A 2008 survey of 120 American universities conducted by the Institute of International Education showed that one-third of admissions offices treated the Bologna degrees as equivalent to an American undergraduate degree, one-third handled such applications on a case-by-case basis, and the others either had no policy, did not treat the Bologna degrees as equivalent, or left the decision to individual departments (Institute of International Education, 2009).</w:t>
      </w:r>
    </w:p>
    <w:p w:rsidR="00000000" w:rsidDel="00000000" w:rsidP="00000000" w:rsidRDefault="00000000" w:rsidRPr="00000000">
      <w:pPr>
        <w:spacing w:line="480" w:lineRule="auto"/>
        <w:ind w:left="0" w:firstLine="720"/>
        <w:contextualSpacing w:val="0"/>
      </w:pPr>
      <w:r w:rsidDel="00000000" w:rsidR="00000000" w:rsidRPr="00000000">
        <w:rPr>
          <w:rFonts w:ascii="Times New Roman" w:cs="Times New Roman" w:eastAsia="Times New Roman" w:hAnsi="Times New Roman"/>
          <w:sz w:val="24"/>
          <w:szCs w:val="24"/>
          <w:rtl w:val="0"/>
        </w:rPr>
        <w:t xml:space="preserve">Perhaps of even greater impact on attainment rates has been the adoption of a binary structure of higher education in many European countries. Until the last third of the 20</w:t>
      </w:r>
      <w:r w:rsidDel="00000000" w:rsidR="00000000" w:rsidRPr="00000000">
        <w:rPr>
          <w:rFonts w:ascii="Times New Roman" w:cs="Times New Roman" w:eastAsia="Times New Roman" w:hAnsi="Times New Roman"/>
          <w:sz w:val="24"/>
          <w:szCs w:val="24"/>
          <w:vertAlign w:val="superscript"/>
          <w:rtl w:val="0"/>
        </w:rPr>
        <w:t xml:space="preserve">th</w:t>
      </w:r>
      <w:r w:rsidDel="00000000" w:rsidR="00000000" w:rsidRPr="00000000">
        <w:rPr>
          <w:rFonts w:ascii="Times New Roman" w:cs="Times New Roman" w:eastAsia="Times New Roman" w:hAnsi="Times New Roman"/>
          <w:sz w:val="24"/>
          <w:szCs w:val="24"/>
          <w:rtl w:val="0"/>
        </w:rPr>
        <w:t xml:space="preserve"> century, the higher education systems of most European countries consisted exclusively of traditional universities (Taylor, Ferreira, Machado, &amp; Santiago, 2008).  Beginning in the United Kingdom in the 1960s, and much later in some other countries, adult vocational training institutions were molded into a parallel sector of postsecondary education which awarded baccalaureate, and in some countries higher, degrees. Frequently in Europe, the new sectors were created by merging existing vocational institutions, many of which tended to be in specialized fields, dated back to the 19</w:t>
      </w:r>
      <w:r w:rsidDel="00000000" w:rsidR="00000000" w:rsidRPr="00000000">
        <w:rPr>
          <w:rFonts w:ascii="Times New Roman" w:cs="Times New Roman" w:eastAsia="Times New Roman" w:hAnsi="Times New Roman"/>
          <w:sz w:val="24"/>
          <w:szCs w:val="24"/>
          <w:vertAlign w:val="superscript"/>
          <w:rtl w:val="0"/>
        </w:rPr>
        <w:t xml:space="preserve">th</w:t>
      </w:r>
      <w:r w:rsidDel="00000000" w:rsidR="00000000" w:rsidRPr="00000000">
        <w:rPr>
          <w:rFonts w:ascii="Times New Roman" w:cs="Times New Roman" w:eastAsia="Times New Roman" w:hAnsi="Times New Roman"/>
          <w:sz w:val="24"/>
          <w:szCs w:val="24"/>
          <w:rtl w:val="0"/>
        </w:rPr>
        <w:t xml:space="preserve"> century, and had their roots in guilds (Huisman, 2008). These institutions had an applied orientation both with respect to their mission of preparing graduates for jobs and careers, and with respect to the their extensive use of hands-on learning in their teaching methods. They also emphasized teaching and had limited involvement in research; and they were intended to admit students from a wide variety of educational backgrounds, including those who had been streamed away from the university admission pathway in secondary school (Slantcheva-Durst, 2010). Besides producing graduates with the knowledge and skills needed by industry, another of the principal motivations for the establishment of applied sectors of higher education was that it was thought to be a less costly way of expanding opportunity to pursue higher education than adding or expanding universities.</w:t>
      </w:r>
    </w:p>
    <w:p w:rsidR="00000000" w:rsidDel="00000000" w:rsidP="00000000" w:rsidRDefault="00000000" w:rsidRPr="00000000">
      <w:pPr>
        <w:spacing w:line="480" w:lineRule="auto"/>
        <w:ind w:left="0" w:firstLine="0"/>
        <w:contextualSpacing w:val="0"/>
      </w:pPr>
      <w:r w:rsidDel="00000000" w:rsidR="00000000" w:rsidRPr="00000000">
        <w:rPr>
          <w:rFonts w:ascii="Times New Roman" w:cs="Times New Roman" w:eastAsia="Times New Roman" w:hAnsi="Times New Roman"/>
          <w:sz w:val="24"/>
          <w:szCs w:val="24"/>
          <w:rtl w:val="0"/>
        </w:rPr>
        <w:tab/>
        <w:t xml:space="preserve">Examples of applied sectors of higher education in Europe are </w:t>
      </w:r>
      <w:r w:rsidDel="00000000" w:rsidR="00000000" w:rsidRPr="00000000">
        <w:rPr>
          <w:rFonts w:ascii="Times New Roman" w:cs="Times New Roman" w:eastAsia="Times New Roman" w:hAnsi="Times New Roman"/>
          <w:i w:val="1"/>
          <w:sz w:val="24"/>
          <w:szCs w:val="24"/>
          <w:rtl w:val="0"/>
        </w:rPr>
        <w:t xml:space="preserve">Fachhochschulen</w:t>
      </w:r>
      <w:r w:rsidDel="00000000" w:rsidR="00000000" w:rsidRPr="00000000">
        <w:rPr>
          <w:rFonts w:ascii="Times New Roman" w:cs="Times New Roman" w:eastAsia="Times New Roman" w:hAnsi="Times New Roman"/>
          <w:sz w:val="24"/>
          <w:szCs w:val="24"/>
          <w:rtl w:val="0"/>
        </w:rPr>
        <w:t xml:space="preserve"> in Germany, Austria, and Switzerland;</w:t>
      </w:r>
      <w:r w:rsidDel="00000000" w:rsidR="00000000" w:rsidRPr="00000000">
        <w:rPr>
          <w:rFonts w:ascii="Times New Roman" w:cs="Times New Roman" w:eastAsia="Times New Roman" w:hAnsi="Times New Roman"/>
          <w:i w:val="1"/>
          <w:sz w:val="24"/>
          <w:szCs w:val="24"/>
          <w:rtl w:val="0"/>
        </w:rPr>
        <w:t xml:space="preserve"> Hogescholen</w:t>
      </w:r>
      <w:r w:rsidDel="00000000" w:rsidR="00000000" w:rsidRPr="00000000">
        <w:rPr>
          <w:rFonts w:ascii="Times New Roman" w:cs="Times New Roman" w:eastAsia="Times New Roman" w:hAnsi="Times New Roman"/>
          <w:sz w:val="24"/>
          <w:szCs w:val="24"/>
          <w:rtl w:val="0"/>
        </w:rPr>
        <w:t xml:space="preserve"> in the Netherlands; Polytechnics in Finland; Institutes of Technology in Ireland; and University-Colleges in Denmark, Norway, and Flanders. In some countries, applied sector institutions offer programs in traditional regulated professions such as Law and Engineering. However, many of their baccalaureate programs are in fields that have titles that would not sound out of place in an American community college, e.g., Safety &amp; Security Management, International Hospitality, Materials Processing Technology, Health Promotion, Community Sports Leadership, Information Technology, Web Development &amp; Creative Media, and Transport Management.</w:t>
      </w:r>
    </w:p>
    <w:p w:rsidR="00000000" w:rsidDel="00000000" w:rsidP="00000000" w:rsidRDefault="00000000" w:rsidRPr="00000000">
      <w:pPr>
        <w:spacing w:line="480" w:lineRule="auto"/>
        <w:ind w:left="0" w:firstLine="720"/>
        <w:contextualSpacing w:val="0"/>
      </w:pPr>
      <w:r w:rsidDel="00000000" w:rsidR="00000000" w:rsidRPr="00000000">
        <w:rPr>
          <w:rFonts w:ascii="Times New Roman" w:cs="Times New Roman" w:eastAsia="Times New Roman" w:hAnsi="Times New Roman"/>
          <w:sz w:val="24"/>
          <w:szCs w:val="24"/>
          <w:rtl w:val="0"/>
        </w:rPr>
        <w:t xml:space="preserve">Applied sectors of higher education in many European countries have come to account for substantial proportions – in some cases, the majority - of baccalaureate enrolment. These sectors enroll about two-thirds of baccalaureate degree students in the Netherlands and about one-third in Germany (Klumpp, de Boer, &amp; Vossensteyn, 2014); over 60% in Finland (Statistics Finland, 2014a; 2014b); and 48% in Ireland (Higher Education Authority of Ireland, 2013).</w:t>
      </w:r>
    </w:p>
    <w:p w:rsidR="00000000" w:rsidDel="00000000" w:rsidP="00000000" w:rsidRDefault="00000000" w:rsidRPr="00000000">
      <w:pPr>
        <w:spacing w:after="0" w:before="0" w:line="480" w:lineRule="auto"/>
        <w:ind w:left="0" w:firstLine="0"/>
        <w:contextualSpacing w:val="0"/>
      </w:pPr>
      <w:r w:rsidDel="00000000" w:rsidR="00000000" w:rsidRPr="00000000">
        <w:rPr>
          <w:rFonts w:ascii="Times New Roman" w:cs="Times New Roman" w:eastAsia="Times New Roman" w:hAnsi="Times New Roman"/>
          <w:b w:val="0"/>
          <w:color w:val="000000"/>
          <w:sz w:val="24"/>
          <w:szCs w:val="24"/>
          <w:rtl w:val="0"/>
        </w:rPr>
        <w:tab/>
        <w:t xml:space="preserve">A good example of the impact of a new type of provider of baccalaureate degrees was the 1992 merger of over 200 vocational institutions in Finland into 32 polytechnic institutes (Välimaa &amp; Neuvonen-Rauhala, 2008). In 2014, the polytechnics awarded 22,887 baccalaureate degrees (Statistics Finland, 2014a) compared to 13,640 by the universities (Statistics Finland, 2014b), thus helping to explain the enormous increase in the baccalaureate degree attainment rate for young people that occurred in Finland during the early 21</w:t>
      </w:r>
      <w:r w:rsidDel="00000000" w:rsidR="00000000" w:rsidRPr="00000000">
        <w:rPr>
          <w:rFonts w:ascii="Times New Roman" w:cs="Times New Roman" w:eastAsia="Times New Roman" w:hAnsi="Times New Roman"/>
          <w:b w:val="0"/>
          <w:color w:val="000000"/>
          <w:sz w:val="24"/>
          <w:szCs w:val="24"/>
          <w:vertAlign w:val="superscript"/>
          <w:rtl w:val="0"/>
        </w:rPr>
        <w:t xml:space="preserve">st</w:t>
      </w:r>
      <w:r w:rsidDel="00000000" w:rsidR="00000000" w:rsidRPr="00000000">
        <w:rPr>
          <w:rFonts w:ascii="Times New Roman" w:cs="Times New Roman" w:eastAsia="Times New Roman" w:hAnsi="Times New Roman"/>
          <w:b w:val="0"/>
          <w:color w:val="000000"/>
          <w:sz w:val="24"/>
          <w:szCs w:val="24"/>
          <w:rtl w:val="0"/>
        </w:rPr>
        <w:t xml:space="preserve"> century, raising its international ranking from 14</w:t>
      </w:r>
      <w:r w:rsidDel="00000000" w:rsidR="00000000" w:rsidRPr="00000000">
        <w:rPr>
          <w:rFonts w:ascii="Times New Roman" w:cs="Times New Roman" w:eastAsia="Times New Roman" w:hAnsi="Times New Roman"/>
          <w:b w:val="0"/>
          <w:color w:val="000000"/>
          <w:sz w:val="24"/>
          <w:szCs w:val="24"/>
          <w:vertAlign w:val="superscript"/>
          <w:rtl w:val="0"/>
        </w:rPr>
        <w:t xml:space="preserve">th</w:t>
      </w:r>
      <w:r w:rsidDel="00000000" w:rsidR="00000000" w:rsidRPr="00000000">
        <w:rPr>
          <w:rFonts w:ascii="Times New Roman" w:cs="Times New Roman" w:eastAsia="Times New Roman" w:hAnsi="Times New Roman"/>
          <w:b w:val="0"/>
          <w:color w:val="000000"/>
          <w:sz w:val="24"/>
          <w:szCs w:val="24"/>
          <w:rtl w:val="0"/>
        </w:rPr>
        <w:t xml:space="preserve"> to 6th. Finnish polytechnics have recently taken to calling themselves Universities of Applied Sciences, a name that has been growing in popularity among applied sector institutions in Europe. Institutions of this type from several European countries have formed an Association of Universities of Applied Sciences (</w:t>
      </w:r>
      <w:hyperlink r:id="rId5">
        <w:r w:rsidDel="00000000" w:rsidR="00000000" w:rsidRPr="00000000">
          <w:rPr>
            <w:rFonts w:ascii="Times New Roman" w:cs="Times New Roman" w:eastAsia="Times New Roman" w:hAnsi="Times New Roman"/>
            <w:b w:val="0"/>
            <w:color w:val="0000ff"/>
            <w:sz w:val="24"/>
            <w:szCs w:val="24"/>
            <w:u w:val="single"/>
            <w:rtl w:val="0"/>
          </w:rPr>
          <w:t xml:space="preserve">http://www.uasnet.eu/</w:t>
        </w:r>
      </w:hyperlink>
      <w:r w:rsidDel="00000000" w:rsidR="00000000" w:rsidRPr="00000000">
        <w:rPr>
          <w:rFonts w:ascii="Times New Roman" w:cs="Times New Roman" w:eastAsia="Times New Roman" w:hAnsi="Times New Roman"/>
          <w:b w:val="0"/>
          <w:color w:val="000000"/>
          <w:sz w:val="24"/>
          <w:szCs w:val="24"/>
          <w:rtl w:val="0"/>
        </w:rPr>
        <w:t xml:space="preserve"> ). The development of applied sectors of higher education has enabled many European countries to substantially increase their baccalaureate degree attainment rates for young people, with some such as Norway, the Netherlands, and Finland having among the highest rates in the world.</w:t>
      </w:r>
    </w:p>
    <w:p w:rsidR="00000000" w:rsidDel="00000000" w:rsidP="00000000" w:rsidRDefault="00000000" w:rsidRPr="00000000">
      <w:pPr>
        <w:spacing w:after="0" w:before="0" w:line="480" w:lineRule="auto"/>
        <w:ind w:left="0" w:firstLine="0"/>
        <w:contextualSpacing w:val="0"/>
      </w:pPr>
      <w:r w:rsidDel="00000000" w:rsidR="00000000" w:rsidRPr="00000000">
        <w:rPr>
          <w:rFonts w:ascii="Times New Roman" w:cs="Times New Roman" w:eastAsia="Times New Roman" w:hAnsi="Times New Roman"/>
          <w:b w:val="0"/>
          <w:color w:val="000000"/>
          <w:sz w:val="24"/>
          <w:szCs w:val="24"/>
          <w:rtl w:val="0"/>
        </w:rPr>
        <w:tab/>
        <w:t xml:space="preserve">However, having a parallel sector of vocationally-oriented, baccalaureate-granting institutions increases only the </w:t>
      </w:r>
      <w:r w:rsidDel="00000000" w:rsidR="00000000" w:rsidRPr="00000000">
        <w:rPr>
          <w:rFonts w:ascii="Times New Roman" w:cs="Times New Roman" w:eastAsia="Times New Roman" w:hAnsi="Times New Roman"/>
          <w:b w:val="0"/>
          <w:i w:val="1"/>
          <w:color w:val="000000"/>
          <w:sz w:val="24"/>
          <w:szCs w:val="24"/>
          <w:rtl w:val="0"/>
        </w:rPr>
        <w:t xml:space="preserve">potential</w:t>
      </w:r>
      <w:r w:rsidDel="00000000" w:rsidR="00000000" w:rsidRPr="00000000">
        <w:rPr>
          <w:rFonts w:ascii="Times New Roman" w:cs="Times New Roman" w:eastAsia="Times New Roman" w:hAnsi="Times New Roman"/>
          <w:b w:val="0"/>
          <w:color w:val="000000"/>
          <w:sz w:val="24"/>
          <w:szCs w:val="24"/>
          <w:rtl w:val="0"/>
        </w:rPr>
        <w:t xml:space="preserve"> for higher educational attainment, not necessarily the actual rate of attainment. This is borne out by the experience of Germany where the </w:t>
      </w:r>
      <w:r w:rsidDel="00000000" w:rsidR="00000000" w:rsidRPr="00000000">
        <w:rPr>
          <w:rFonts w:ascii="Times New Roman" w:cs="Times New Roman" w:eastAsia="Times New Roman" w:hAnsi="Times New Roman"/>
          <w:b w:val="0"/>
          <w:i w:val="1"/>
          <w:color w:val="000000"/>
          <w:sz w:val="24"/>
          <w:szCs w:val="24"/>
          <w:rtl w:val="0"/>
        </w:rPr>
        <w:t xml:space="preserve">Fachhochschulen</w:t>
      </w:r>
      <w:r w:rsidDel="00000000" w:rsidR="00000000" w:rsidRPr="00000000">
        <w:rPr>
          <w:rFonts w:ascii="Times New Roman" w:cs="Times New Roman" w:eastAsia="Times New Roman" w:hAnsi="Times New Roman"/>
          <w:b w:val="0"/>
          <w:color w:val="000000"/>
          <w:sz w:val="24"/>
          <w:szCs w:val="24"/>
          <w:rtl w:val="0"/>
        </w:rPr>
        <w:t xml:space="preserve"> were the earliest example of an applied sector of baccalaureate-granting institutions on the continent (preceded in Europe only by the polytechnics in England &amp; Wales). In 2012, Germany’s Tertiary A attainment rate for 25-34 year olds was third from the bottom among 34 OECD countries. Given that half the entrants to the</w:t>
      </w:r>
      <w:r w:rsidDel="00000000" w:rsidR="00000000" w:rsidRPr="00000000">
        <w:rPr>
          <w:rFonts w:ascii="Times New Roman" w:cs="Times New Roman" w:eastAsia="Times New Roman" w:hAnsi="Times New Roman"/>
          <w:b w:val="0"/>
          <w:i w:val="1"/>
          <w:color w:val="000000"/>
          <w:sz w:val="24"/>
          <w:szCs w:val="24"/>
          <w:rtl w:val="0"/>
        </w:rPr>
        <w:t xml:space="preserve"> Fachhochshulen</w:t>
      </w:r>
      <w:r w:rsidDel="00000000" w:rsidR="00000000" w:rsidRPr="00000000">
        <w:rPr>
          <w:rFonts w:ascii="Times New Roman" w:cs="Times New Roman" w:eastAsia="Times New Roman" w:hAnsi="Times New Roman"/>
          <w:b w:val="0"/>
          <w:color w:val="000000"/>
          <w:sz w:val="24"/>
          <w:szCs w:val="24"/>
          <w:rtl w:val="0"/>
        </w:rPr>
        <w:t xml:space="preserve"> are from the pre-university stream in the secondary school (Klumpp &amp; Teichler, 2008), it is likely that the </w:t>
      </w:r>
      <w:r w:rsidDel="00000000" w:rsidR="00000000" w:rsidRPr="00000000">
        <w:rPr>
          <w:rFonts w:ascii="Times New Roman" w:cs="Times New Roman" w:eastAsia="Times New Roman" w:hAnsi="Times New Roman"/>
          <w:b w:val="0"/>
          <w:i w:val="1"/>
          <w:color w:val="000000"/>
          <w:sz w:val="24"/>
          <w:szCs w:val="24"/>
          <w:rtl w:val="0"/>
        </w:rPr>
        <w:t xml:space="preserve">Fachhochschulen</w:t>
      </w:r>
      <w:r w:rsidDel="00000000" w:rsidR="00000000" w:rsidRPr="00000000">
        <w:rPr>
          <w:rFonts w:ascii="Times New Roman" w:cs="Times New Roman" w:eastAsia="Times New Roman" w:hAnsi="Times New Roman"/>
          <w:b w:val="0"/>
          <w:color w:val="000000"/>
          <w:sz w:val="24"/>
          <w:szCs w:val="24"/>
          <w:rtl w:val="0"/>
        </w:rPr>
        <w:t xml:space="preserve"> serve at least as much to take students who would otherwise attend university but are attracted by the opportunity for vocationally-oriented education at the higher education level, as they do to open up postsecondary education to new populations of students. Such speculation aside, it is not clear whether Germany’s relatively low Tertiary A attainment rate is more a result of demand-side or supply-side factors. Moreover, the experience of Korea and Japan (Kis &amp; Park, 2012; Tsunoda &amp; Iida, 2015) show that it is possible for a country in which the organization of higher education is broadly similar to that of the United States, albeit with substantially smaller community college sectors, to have a much higher rate of tertiary educational attainment than the United States. </w:t>
      </w:r>
    </w:p>
    <w:p w:rsidR="00000000" w:rsidDel="00000000" w:rsidP="00000000" w:rsidRDefault="00000000" w:rsidRPr="00000000">
      <w:pPr>
        <w:spacing w:after="0" w:before="0" w:line="480" w:lineRule="auto"/>
        <w:ind w:left="0" w:firstLine="0"/>
        <w:contextualSpacing w:val="0"/>
      </w:pPr>
      <w:r w:rsidDel="00000000" w:rsidR="00000000" w:rsidRPr="00000000">
        <w:rPr>
          <w:rFonts w:ascii="Times New Roman" w:cs="Times New Roman" w:eastAsia="Times New Roman" w:hAnsi="Times New Roman"/>
          <w:b w:val="0"/>
          <w:color w:val="000000"/>
          <w:sz w:val="24"/>
          <w:szCs w:val="24"/>
          <w:rtl w:val="0"/>
        </w:rPr>
        <w:tab/>
        <w:t xml:space="preserve">A possible downside of partitioning postsecondary education systems into parallel academic and applied baccalaureate degree awarding sectors is that some of the countries that have done so have very low Tertiary B attainment rates. The Tertiary B rate for 25-34 year olds in Finland decreased from 19% in 2002 to 1% in 2012. Apparently, when the former vocational institutions were merged into the new polytechnics, the sub-baccalaureate programs that these institutions had formerly offered were drastically reduced in scale or discontinued. The negligible attainment rate for Tertiary B education indicates that the programs that are offered by 210 providers of vocational education and training in Finland (Ministry of Education and Culture, 2013) are not generally at the postsecondary level. </w:t>
      </w:r>
    </w:p>
    <w:p w:rsidR="00000000" w:rsidDel="00000000" w:rsidP="00000000" w:rsidRDefault="00000000" w:rsidRPr="00000000">
      <w:pPr>
        <w:spacing w:after="0" w:before="0" w:line="480" w:lineRule="auto"/>
        <w:ind w:left="0" w:firstLine="720"/>
        <w:contextualSpacing w:val="0"/>
      </w:pPr>
      <w:r w:rsidDel="00000000" w:rsidR="00000000" w:rsidRPr="00000000">
        <w:rPr>
          <w:rFonts w:ascii="Times New Roman" w:cs="Times New Roman" w:eastAsia="Times New Roman" w:hAnsi="Times New Roman"/>
          <w:b w:val="0"/>
          <w:color w:val="000000"/>
          <w:sz w:val="24"/>
          <w:szCs w:val="24"/>
          <w:rtl w:val="0"/>
        </w:rPr>
        <w:t xml:space="preserve">A similar situation to that in Finland exists in the Netherlands where the main activity of the </w:t>
      </w:r>
      <w:r w:rsidDel="00000000" w:rsidR="00000000" w:rsidRPr="00000000">
        <w:rPr>
          <w:rFonts w:ascii="Times New Roman" w:cs="Times New Roman" w:eastAsia="Times New Roman" w:hAnsi="Times New Roman"/>
          <w:b w:val="0"/>
          <w:i w:val="1"/>
          <w:color w:val="000000"/>
          <w:sz w:val="24"/>
          <w:szCs w:val="24"/>
          <w:rtl w:val="0"/>
        </w:rPr>
        <w:t xml:space="preserve">Hogescholen</w:t>
      </w:r>
      <w:r w:rsidDel="00000000" w:rsidR="00000000" w:rsidRPr="00000000">
        <w:rPr>
          <w:rFonts w:ascii="Times New Roman" w:cs="Times New Roman" w:eastAsia="Times New Roman" w:hAnsi="Times New Roman"/>
          <w:b w:val="0"/>
          <w:color w:val="000000"/>
          <w:sz w:val="24"/>
          <w:szCs w:val="24"/>
          <w:rtl w:val="0"/>
        </w:rPr>
        <w:t xml:space="preserve"> is the provision of programmes at the bachelor’s and master’s levels, and the rate of attainment of a sub-baccalaureate vocational credential for 25-34 year olds in 2012 was only 3%. In spite of the extensive network of institutions of vocational training for secondary school students and adults, a recent OECD review concluded that the major weakness of vocational education and training in the Netherlands was insufficient provision of vocational education at the postsecondary level below the baccalaureate degree (Fazekas &amp; Litjens, 2014). The reviewers expressed concern that that there were insufficient opportunities for graduates of secondary school vocational programs to continue their education, and that the country was producing fewer graduates of short-cycle postsecondary vocational education than were needed by the economy.  The report noted that while a pilot programme for two-year associate degrees had been introduced, after several years enrolment in bachelor degree programs remained about one hundred times the enrolment in associate degree programs. </w:t>
      </w:r>
    </w:p>
    <w:p w:rsidR="00000000" w:rsidDel="00000000" w:rsidP="00000000" w:rsidRDefault="00000000" w:rsidRPr="00000000">
      <w:pPr>
        <w:spacing w:after="0" w:before="0" w:line="480" w:lineRule="auto"/>
        <w:ind w:left="0" w:firstLine="0"/>
        <w:contextualSpacing w:val="0"/>
      </w:pPr>
      <w:r w:rsidDel="00000000" w:rsidR="00000000" w:rsidRPr="00000000">
        <w:rPr>
          <w:rFonts w:ascii="Times New Roman" w:cs="Times New Roman" w:eastAsia="Times New Roman" w:hAnsi="Times New Roman"/>
          <w:b w:val="0"/>
          <w:color w:val="000000"/>
          <w:sz w:val="24"/>
          <w:szCs w:val="24"/>
          <w:rtl w:val="0"/>
        </w:rPr>
        <w:tab/>
        <w:t xml:space="preserve">Although the United States does not have a baccalaureate granting sector of its public postsecondary education system that is comparable to the applied sectors that are so common in Europe, the role that the European sectors play is covered at least partially in two ways in the United States. First, as Cappelli (2015) notes, many mainstream universities offer very specific, occupational programs at the baccalaureate level, such as the Bakery Science program at Kansas State University, the Turf and Turfgrass Management program at Ohio State University, and the Supply Chain Management program at Widner University (Cappelli, 2015). Second, the for-profit sector, which in 2013-14 consisted of 761 four-year institutions (National Center for Education Statistics, 2014), focuses on producing job-ready graduates for specific occupations. Compared to the European institutions, however, the first of these options is rather limited and fragmented, and the second lacks the breadth and stature of a substantial, publicly funded sector of postsecondary education. </w:t>
      </w:r>
    </w:p>
    <w:p w:rsidR="00000000" w:rsidDel="00000000" w:rsidP="00000000" w:rsidRDefault="00000000" w:rsidRPr="00000000">
      <w:pPr>
        <w:spacing w:after="0" w:before="0" w:line="480" w:lineRule="auto"/>
        <w:ind w:left="0" w:firstLine="720"/>
        <w:contextualSpacing w:val="0"/>
      </w:pPr>
      <w:r w:rsidDel="00000000" w:rsidR="00000000" w:rsidRPr="00000000">
        <w:rPr>
          <w:rFonts w:ascii="Times New Roman" w:cs="Times New Roman" w:eastAsia="Times New Roman" w:hAnsi="Times New Roman"/>
          <w:b w:val="0"/>
          <w:color w:val="000000"/>
          <w:sz w:val="24"/>
          <w:szCs w:val="24"/>
          <w:rtl w:val="0"/>
        </w:rPr>
        <w:t xml:space="preserve">Because the binary systems of higher education that have been adopted in many European countries may have such an important impact on Tertiary A attainment rates in these countries, the way in which these systems differ from higher education systems in the United States is elaborated in the next section.</w:t>
      </w:r>
    </w:p>
    <w:p w:rsidR="00000000" w:rsidDel="00000000" w:rsidP="00000000" w:rsidRDefault="00000000" w:rsidRPr="00000000">
      <w:pPr>
        <w:spacing w:after="0" w:before="0" w:line="276" w:lineRule="auto"/>
        <w:ind w:left="0" w:firstLine="0"/>
        <w:contextualSpacing w:val="0"/>
        <w:jc w:val="center"/>
      </w:pPr>
      <w:r w:rsidDel="00000000" w:rsidR="00000000" w:rsidRPr="00000000">
        <w:rPr>
          <w:rtl w:val="0"/>
        </w:rPr>
      </w:r>
    </w:p>
    <w:p w:rsidR="00000000" w:rsidDel="00000000" w:rsidP="00000000" w:rsidRDefault="00000000" w:rsidRPr="00000000">
      <w:pPr>
        <w:spacing w:after="0" w:before="0" w:line="276" w:lineRule="auto"/>
        <w:ind w:left="0" w:firstLine="0"/>
        <w:contextualSpacing w:val="0"/>
        <w:jc w:val="center"/>
      </w:pPr>
      <w:r w:rsidDel="00000000" w:rsidR="00000000" w:rsidRPr="00000000">
        <w:rPr>
          <w:rFonts w:ascii="Times New Roman" w:cs="Times New Roman" w:eastAsia="Times New Roman" w:hAnsi="Times New Roman"/>
          <w:b w:val="1"/>
          <w:color w:val="000000"/>
          <w:sz w:val="24"/>
          <w:szCs w:val="24"/>
          <w:rtl w:val="0"/>
        </w:rPr>
        <w:t xml:space="preserve">CONTRASTING THE AMERICAN AND EUROPEAN MODELS FOR FACILITATING THE ATAINMENT OF BACCALAUREATE DEGREES IN </w:t>
      </w:r>
    </w:p>
    <w:p w:rsidR="00000000" w:rsidDel="00000000" w:rsidP="00000000" w:rsidRDefault="00000000" w:rsidRPr="00000000">
      <w:pPr>
        <w:spacing w:after="0" w:before="0" w:line="276" w:lineRule="auto"/>
        <w:ind w:left="0" w:firstLine="0"/>
        <w:contextualSpacing w:val="0"/>
        <w:jc w:val="center"/>
      </w:pPr>
      <w:r w:rsidDel="00000000" w:rsidR="00000000" w:rsidRPr="00000000">
        <w:rPr>
          <w:rFonts w:ascii="Times New Roman" w:cs="Times New Roman" w:eastAsia="Times New Roman" w:hAnsi="Times New Roman"/>
          <w:b w:val="1"/>
          <w:color w:val="000000"/>
          <w:sz w:val="24"/>
          <w:szCs w:val="24"/>
          <w:rtl w:val="0"/>
        </w:rPr>
        <w:t xml:space="preserve">APPLIED FIELDS OF STUDY</w:t>
      </w:r>
    </w:p>
    <w:p w:rsidR="00000000" w:rsidDel="00000000" w:rsidP="00000000" w:rsidRDefault="00000000" w:rsidRPr="00000000">
      <w:pPr>
        <w:spacing w:after="0" w:before="0" w:line="276" w:lineRule="auto"/>
        <w:ind w:left="0" w:firstLine="0"/>
        <w:contextualSpacing w:val="0"/>
        <w:jc w:val="center"/>
      </w:pPr>
      <w:r w:rsidDel="00000000" w:rsidR="00000000" w:rsidRPr="00000000">
        <w:rPr>
          <w:rtl w:val="0"/>
        </w:rPr>
      </w:r>
    </w:p>
    <w:p w:rsidR="00000000" w:rsidDel="00000000" w:rsidP="00000000" w:rsidRDefault="00000000" w:rsidRPr="00000000">
      <w:pPr>
        <w:spacing w:after="0" w:before="0" w:line="480" w:lineRule="auto"/>
        <w:ind w:left="0" w:firstLine="0"/>
        <w:contextualSpacing w:val="0"/>
        <w:jc w:val="both"/>
      </w:pPr>
      <w:r w:rsidDel="00000000" w:rsidR="00000000" w:rsidRPr="00000000">
        <w:rPr>
          <w:rFonts w:ascii="Times New Roman" w:cs="Times New Roman" w:eastAsia="Times New Roman" w:hAnsi="Times New Roman"/>
          <w:b w:val="0"/>
          <w:color w:val="000000"/>
          <w:sz w:val="24"/>
          <w:szCs w:val="24"/>
          <w:rtl w:val="0"/>
        </w:rPr>
        <w:t xml:space="preserve">A feature of the organization of higher education that appears to be nearly universal is the existence of a distinct tertiary sector that consists of institutions that have as their exclusive, or as one of their major mission(s), the provision of vocationally oriented, or applied, education at the postsecondary level. In many European countries, such as the Netherlands, Finland, Germany, Denmark, and Ireland, the applied sector offers programs only or mainly at the baccalaureate and higher levels, and it accounts for a substantial proportion, and in some cases the majority, of baccalaureate degrees awarded in the country. In these countries, the chief avenue for students who want to obtain a baccalaureate degree in an applied field is to enroll in a baccalaureate program in an applied sector institution. Applied sector institutions constitute a parallel degree-granting sector to the university sector. Not all European countries have such applied sectors, for example Italy does not. Some countries outside Europe, for example, New Zealand, have an applied sector of this kind. The author has not been able to find sufficiently detailed descriptions of the higher education systems of all OECD countries to determine which, if either, of the conceptual models described in this section best fit their approaches to facilitating baccalaureate degree attainment for students in career and technical education. Among the countries listed in Table 1, the ones that have applied postsecondary sectors of the kind described in this section include: Austria, Belgium, Denmark, Finland, Germany, Ireland, Netherland, New Zealand, Norway, and Switzerland. Because of its prominence of European countries in this list, this approach to facilitating baccalaureate degree attainment in applied fields of study could be called the European Model. </w:t>
      </w:r>
    </w:p>
    <w:p w:rsidR="00000000" w:rsidDel="00000000" w:rsidP="00000000" w:rsidRDefault="00000000" w:rsidRPr="00000000">
      <w:pPr>
        <w:spacing w:after="0" w:before="0" w:line="480" w:lineRule="auto"/>
        <w:ind w:left="0" w:firstLine="0"/>
        <w:contextualSpacing w:val="0"/>
        <w:jc w:val="both"/>
      </w:pPr>
      <w:r w:rsidDel="00000000" w:rsidR="00000000" w:rsidRPr="00000000">
        <w:rPr>
          <w:rFonts w:ascii="Times New Roman" w:cs="Times New Roman" w:eastAsia="Times New Roman" w:hAnsi="Times New Roman"/>
          <w:b w:val="0"/>
          <w:color w:val="000000"/>
          <w:sz w:val="24"/>
          <w:szCs w:val="24"/>
          <w:rtl w:val="0"/>
        </w:rPr>
        <w:tab/>
        <w:t xml:space="preserve">In many countries, the vocational orientation of the applied sector, and how it differs in that respect from the traditional university sector, has been spelled out in legislation or policy. For example, the act under which the</w:t>
      </w:r>
      <w:r w:rsidDel="00000000" w:rsidR="00000000" w:rsidRPr="00000000">
        <w:rPr>
          <w:rFonts w:ascii="Times New Roman" w:cs="Times New Roman" w:eastAsia="Times New Roman" w:hAnsi="Times New Roman"/>
          <w:b w:val="0"/>
          <w:i w:val="1"/>
          <w:color w:val="000000"/>
          <w:sz w:val="24"/>
          <w:szCs w:val="24"/>
          <w:rtl w:val="0"/>
        </w:rPr>
        <w:t xml:space="preserve"> Fachhochschulen</w:t>
      </w:r>
      <w:r w:rsidDel="00000000" w:rsidR="00000000" w:rsidRPr="00000000">
        <w:rPr>
          <w:rFonts w:ascii="Times New Roman" w:cs="Times New Roman" w:eastAsia="Times New Roman" w:hAnsi="Times New Roman"/>
          <w:b w:val="0"/>
          <w:color w:val="000000"/>
          <w:sz w:val="24"/>
          <w:szCs w:val="24"/>
          <w:rtl w:val="0"/>
        </w:rPr>
        <w:t xml:space="preserve"> in Austria were established states that the purpose of these institutions is to provide “higher education courses that serve to educate on a scientific basis for vocations” (Hackl, 2008, p. 28). In contrast the purpose of the universities is to provide “research and research based teaching directed towards the advancement of knowledge and new approaches to the arts” (Hackl, 2008, p. 29). Klumpp &amp; Teichler have noted some of the ways that the “strong applied emphasis” of the German </w:t>
      </w:r>
      <w:r w:rsidDel="00000000" w:rsidR="00000000" w:rsidRPr="00000000">
        <w:rPr>
          <w:rFonts w:ascii="Times New Roman" w:cs="Times New Roman" w:eastAsia="Times New Roman" w:hAnsi="Times New Roman"/>
          <w:b w:val="0"/>
          <w:i w:val="1"/>
          <w:color w:val="000000"/>
          <w:sz w:val="24"/>
          <w:szCs w:val="24"/>
          <w:rtl w:val="0"/>
        </w:rPr>
        <w:t xml:space="preserve">Fachhochschulen</w:t>
      </w:r>
      <w:r w:rsidDel="00000000" w:rsidR="00000000" w:rsidRPr="00000000">
        <w:rPr>
          <w:rFonts w:ascii="Times New Roman" w:cs="Times New Roman" w:eastAsia="Times New Roman" w:hAnsi="Times New Roman"/>
          <w:b w:val="0"/>
          <w:color w:val="000000"/>
          <w:sz w:val="24"/>
          <w:szCs w:val="24"/>
          <w:rtl w:val="0"/>
        </w:rPr>
        <w:t xml:space="preserve"> is manifested: “most teachers are professionally experienced outside higher education and research, the number of part-time teachers with professional experience is higher [than in the universities], the teachers emphasize application both in the substance and the modes of teaching, and a larger proportion of FH [Fachhochschule] students is professionally experienced and participates in internships during the course of study” (Klumpp &amp; Teichler, 2008, p. 108). In some countries, the quality assurance standards for baccalaureate level education give explicit recognition of the difference in orientation between applied and academic sectors of higher education (Skolnik, 2015). For example, in Flanders, teaching in applied sector programs is to be “principally provided by staff who link the program to [the] professional practice”, while in institutions with an academic orientation teaching should be “principally provided by researchers who contribute to the development of the subject/discipline” (Accreditation Organization of the Netherlands and Flanders, 2005, p. 7). </w:t>
      </w:r>
    </w:p>
    <w:p w:rsidR="00000000" w:rsidDel="00000000" w:rsidP="00000000" w:rsidRDefault="00000000" w:rsidRPr="00000000">
      <w:pPr>
        <w:spacing w:after="0" w:before="0" w:line="480" w:lineRule="auto"/>
        <w:ind w:left="0" w:firstLine="0"/>
        <w:contextualSpacing w:val="0"/>
        <w:jc w:val="both"/>
      </w:pPr>
      <w:r w:rsidDel="00000000" w:rsidR="00000000" w:rsidRPr="00000000">
        <w:rPr>
          <w:rFonts w:ascii="Times New Roman" w:cs="Times New Roman" w:eastAsia="Times New Roman" w:hAnsi="Times New Roman"/>
          <w:b w:val="0"/>
          <w:color w:val="000000"/>
          <w:sz w:val="24"/>
          <w:szCs w:val="24"/>
          <w:rtl w:val="0"/>
        </w:rPr>
        <w:tab/>
        <w:t xml:space="preserve">In some ways, community colleges in the United States play a similar role as </w:t>
      </w:r>
      <w:r w:rsidDel="00000000" w:rsidR="00000000" w:rsidRPr="00000000">
        <w:rPr>
          <w:rFonts w:ascii="Times New Roman" w:cs="Times New Roman" w:eastAsia="Times New Roman" w:hAnsi="Times New Roman"/>
          <w:b w:val="0"/>
          <w:i w:val="1"/>
          <w:color w:val="000000"/>
          <w:sz w:val="24"/>
          <w:szCs w:val="24"/>
          <w:rtl w:val="0"/>
        </w:rPr>
        <w:t xml:space="preserve">Hogescholen</w:t>
      </w:r>
      <w:r w:rsidDel="00000000" w:rsidR="00000000" w:rsidRPr="00000000">
        <w:rPr>
          <w:rFonts w:ascii="Times New Roman" w:cs="Times New Roman" w:eastAsia="Times New Roman" w:hAnsi="Times New Roman"/>
          <w:b w:val="0"/>
          <w:color w:val="000000"/>
          <w:sz w:val="24"/>
          <w:szCs w:val="24"/>
          <w:rtl w:val="0"/>
        </w:rPr>
        <w:t xml:space="preserve"> in the Netherlands, or Institutes of Technology in Ireland. Community colleges are the largest provider in the United States of vocationally oriented programs at the postsecondary level, and the provision of vocationally oriented education is their predominant function. In 2010-2011, 58% of associate degrees in the United States were in occupational programs (Cohen, Brawer, &amp; Kisker, 2014, p. 314). However, community colleges differ from applied sector institutions in Europe in that community colleges offer their programs exclusively or predominantly at the sub-baccalaureate level. More than half the students who enter postsecondary education in the United States commence their studies in a community college (National Center for Education Statistics, 2008), and about 80% of community college students say that their goal is to obtain a baccalaureate degree (Community College Research Center, 2015). Even if the proportion of students whose goal is to obtain a baccalaureate degree is lower for students in career programs than for those in academic programs, there would still be a very large number of students in community college career programs who seek to obtain a baccalaureate degree. With few exceptions, in order to do so, these students must transfer to a four-year institution. </w:t>
      </w:r>
    </w:p>
    <w:p w:rsidR="00000000" w:rsidDel="00000000" w:rsidP="00000000" w:rsidRDefault="00000000" w:rsidRPr="00000000">
      <w:pPr>
        <w:spacing w:after="0" w:before="0" w:line="480" w:lineRule="auto"/>
        <w:ind w:left="0" w:firstLine="720"/>
        <w:contextualSpacing w:val="0"/>
        <w:jc w:val="both"/>
      </w:pPr>
      <w:r w:rsidDel="00000000" w:rsidR="00000000" w:rsidRPr="00000000">
        <w:rPr>
          <w:rFonts w:ascii="Times New Roman" w:cs="Times New Roman" w:eastAsia="Times New Roman" w:hAnsi="Times New Roman"/>
          <w:b w:val="0"/>
          <w:color w:val="000000"/>
          <w:sz w:val="24"/>
          <w:szCs w:val="24"/>
          <w:rtl w:val="0"/>
        </w:rPr>
        <w:t xml:space="preserve">In contrast to the European Model, the practice whereby students who are interested in career-focused education begin their studies in a two-year institution and subsequently have to transfer to a four-year institution in order to complete a baccalaureate degree could be referred to as the American Model because of its visibility and prominence in the United States. This model is found also in Canada, Japan, some other Asian countries, and some countries in the Middle East. The experience of England and Wales shows that it is possible for a system to change from one of these models to the other. The European Model actually originated with the 1965 decision of the UK government to establish a system of polytechnic institutions in England and Wales that were authorized to offer career-focused programs at the baccalaureate and higher degree levels (Pratt, 1997). However, in 1992, the polytechnics became universities, and the Further Education Colleges became the major providers of postsecondary vocational education, but unlike the former polytechnics, were restricted to sub-baccalaureate awards, e.g., the Higher National Diploma and the Foundation Degree. </w:t>
      </w:r>
    </w:p>
    <w:p w:rsidR="00000000" w:rsidDel="00000000" w:rsidP="00000000" w:rsidRDefault="00000000" w:rsidRPr="00000000">
      <w:pPr>
        <w:spacing w:after="0" w:before="0" w:line="480" w:lineRule="auto"/>
        <w:ind w:left="0" w:firstLine="720"/>
        <w:contextualSpacing w:val="0"/>
        <w:jc w:val="both"/>
      </w:pPr>
      <w:r w:rsidDel="00000000" w:rsidR="00000000" w:rsidRPr="00000000">
        <w:rPr>
          <w:rFonts w:ascii="Times New Roman" w:cs="Times New Roman" w:eastAsia="Times New Roman" w:hAnsi="Times New Roman"/>
          <w:b w:val="0"/>
          <w:color w:val="000000"/>
          <w:sz w:val="24"/>
          <w:szCs w:val="24"/>
          <w:rtl w:val="0"/>
        </w:rPr>
        <w:t xml:space="preserve">Whereas the European Model was the product of quite deliberate planning, the American Model came about largely as an accident of history. Even those who do not hold the practice of educational planning in high regard would probably not go so far as charging any planner with having said, “I’ve got a great idea for how to provide career education at the baccalaureate level. We’ll have students start by taking two years of mostly specialized courses in one institution, and then we’ll force them to transfer to a very different type of institution which will have a very different culture, and probably won’t offer any programs that are directly related to the occupational field in which they concentrated at their first institution. Also we’ll plan it in such a way so that many will have to move to another city in order to transfer, and because of a lack of curriculum fit between the two institutions, it will take them more than four years to complete a baccalaureate degree.” </w:t>
      </w:r>
    </w:p>
    <w:p w:rsidR="00000000" w:rsidDel="00000000" w:rsidP="00000000" w:rsidRDefault="00000000" w:rsidRPr="00000000">
      <w:pPr>
        <w:spacing w:after="0" w:before="0" w:line="480" w:lineRule="auto"/>
        <w:ind w:left="0" w:firstLine="720"/>
        <w:contextualSpacing w:val="0"/>
        <w:jc w:val="both"/>
      </w:pPr>
      <w:r w:rsidDel="00000000" w:rsidR="00000000" w:rsidRPr="00000000">
        <w:rPr>
          <w:rFonts w:ascii="Times New Roman" w:cs="Times New Roman" w:eastAsia="Times New Roman" w:hAnsi="Times New Roman"/>
          <w:b w:val="0"/>
          <w:color w:val="000000"/>
          <w:sz w:val="24"/>
          <w:szCs w:val="24"/>
          <w:rtl w:val="0"/>
        </w:rPr>
        <w:t xml:space="preserve">With the benefit of hindsight, we can see how the common approach to facilitating the attainment of baccalaureate degrees in career and technical fields in the United States (and Canada) came about. Until relatively late in the 20</w:t>
      </w:r>
      <w:r w:rsidDel="00000000" w:rsidR="00000000" w:rsidRPr="00000000">
        <w:rPr>
          <w:rFonts w:ascii="Times New Roman" w:cs="Times New Roman" w:eastAsia="Times New Roman" w:hAnsi="Times New Roman"/>
          <w:b w:val="0"/>
          <w:color w:val="000000"/>
          <w:sz w:val="24"/>
          <w:szCs w:val="24"/>
          <w:vertAlign w:val="superscript"/>
          <w:rtl w:val="0"/>
        </w:rPr>
        <w:t xml:space="preserve">th</w:t>
      </w:r>
      <w:r w:rsidDel="00000000" w:rsidR="00000000" w:rsidRPr="00000000">
        <w:rPr>
          <w:rFonts w:ascii="Times New Roman" w:cs="Times New Roman" w:eastAsia="Times New Roman" w:hAnsi="Times New Roman"/>
          <w:b w:val="0"/>
          <w:color w:val="000000"/>
          <w:sz w:val="24"/>
          <w:szCs w:val="24"/>
          <w:rtl w:val="0"/>
        </w:rPr>
        <w:t xml:space="preserve"> century, the American community college had two major missions that were quite different from one another. One was to provide the first two years of university-parallel courses in arts &amp; sciences that prepared students to transfer into the third year of an arts &amp; sciences curriculum in a four-year institution. The other was to provide two years of career-focused education in a relatively narrowly defined occupational field that prepared graduates for entering the workforce. Many of the courses that career education students took were in highly specialized subjects for which there were no corresponding courses in four-year institutions. The dissonance in curriculum between junior and senior institutions didn’t matter, since the career education students were headed for the workforce, not for further study in a four-year institution.</w:t>
      </w:r>
    </w:p>
    <w:p w:rsidR="00000000" w:rsidDel="00000000" w:rsidP="00000000" w:rsidRDefault="00000000" w:rsidRPr="00000000">
      <w:pPr>
        <w:spacing w:after="0" w:before="0" w:line="480" w:lineRule="auto"/>
        <w:ind w:left="0" w:firstLine="720"/>
        <w:contextualSpacing w:val="0"/>
        <w:jc w:val="both"/>
      </w:pPr>
      <w:r w:rsidDel="00000000" w:rsidR="00000000" w:rsidRPr="00000000">
        <w:rPr>
          <w:rFonts w:ascii="Times New Roman" w:cs="Times New Roman" w:eastAsia="Times New Roman" w:hAnsi="Times New Roman"/>
          <w:b w:val="0"/>
          <w:color w:val="000000"/>
          <w:sz w:val="24"/>
          <w:szCs w:val="24"/>
          <w:rtl w:val="0"/>
        </w:rPr>
        <w:t xml:space="preserve">By the 1980s the proportion of community college students who opted for the career education stream had increased considerably, and more educators were coming to the opinion that in many of the career fields for which community colleges offered two-year programs, students might need to or be required to have more education than that. It was suggested that advances in occupation-specific knowledge and technology had made the baccalaureate degree a necessary, or at least preferable, qualification in several of the fields in which the colleges were offering career programs (Walker &amp; Floyd, 2005; Townsend, Bragg, and Ruud, 2009; Burning Glass Technologies, 2014). A recent study of job postings revealed that 65% of postings for Executive Secretary and Executive Assistant positions contain a requirement for a bachelor’s degree, whereas only 19% of people currently employed in these positions have such a degree (Burning Glass Technologies, 2014). Some other types of jobs in which there have been similar trends in educational requirements are credit checkers, insurance claims processing clerks, transportation managers, and construction supervisors (Burning Glass Technologies, 2014).  </w:t>
      </w:r>
    </w:p>
    <w:p w:rsidR="00000000" w:rsidDel="00000000" w:rsidP="00000000" w:rsidRDefault="00000000" w:rsidRPr="00000000">
      <w:pPr>
        <w:spacing w:after="0" w:before="0" w:line="480" w:lineRule="auto"/>
        <w:ind w:left="0" w:firstLine="720"/>
        <w:contextualSpacing w:val="0"/>
        <w:jc w:val="both"/>
      </w:pPr>
      <w:r w:rsidDel="00000000" w:rsidR="00000000" w:rsidRPr="00000000">
        <w:rPr>
          <w:rFonts w:ascii="Times New Roman" w:cs="Times New Roman" w:eastAsia="Times New Roman" w:hAnsi="Times New Roman"/>
          <w:b w:val="0"/>
          <w:color w:val="000000"/>
          <w:sz w:val="24"/>
          <w:szCs w:val="24"/>
          <w:rtl w:val="0"/>
        </w:rPr>
        <w:t xml:space="preserve">One way of enabling students in two-year career education programs to continue their studies to a higher level would have been to allow the institutions that provided two-year career programs to extend those programs to four years. As described earlier, this is what occurred in many European countries where institutions were not encumbered by a tradition of offering transfer programs. However, given the history and identity of American community colleges as transfer institutions (Levin, 2004), an alternative strategy was adopted instead. This was to apply the same process of transfer to the realm of career education that had been developed to enable students taking a two-year program in the liberal arts &amp; sciences to transfer to a university. </w:t>
      </w:r>
    </w:p>
    <w:p w:rsidR="00000000" w:rsidDel="00000000" w:rsidP="00000000" w:rsidRDefault="00000000" w:rsidRPr="00000000">
      <w:pPr>
        <w:spacing w:after="0" w:before="0" w:line="480" w:lineRule="auto"/>
        <w:ind w:left="0" w:firstLine="720"/>
        <w:contextualSpacing w:val="0"/>
        <w:jc w:val="both"/>
      </w:pPr>
      <w:r w:rsidDel="00000000" w:rsidR="00000000" w:rsidRPr="00000000">
        <w:rPr>
          <w:rFonts w:ascii="Times New Roman" w:cs="Times New Roman" w:eastAsia="Times New Roman" w:hAnsi="Times New Roman"/>
          <w:b w:val="0"/>
          <w:color w:val="000000"/>
          <w:sz w:val="24"/>
          <w:szCs w:val="24"/>
          <w:rtl w:val="0"/>
        </w:rPr>
        <w:t xml:space="preserve">However, the extension of the transfer process from the arts &amp; sciences to career education has proved quite problematic because of the differences between the two areas of study. These differences, and the consequent obstacles that face applied associate degree graduates who aspire toward a baccalaureate degree have been well documented and described (Townsend, 2002; Townsend et al, 2009; Karandjeff &amp; Schiorring, 2011) and need not be restated here. In three decades of efforts to create efficient pathways from an applied associate degree in a community college to baccalaureate degree in a related field in a four-year institution, some progress has been made, but this endeavor still has overtones of trying to force a square peg into a round hole. The basic problem is that while the curriculum of academic programs in two-year institutions had been designed expressly for the purpose of facilitating transfer to a four-year institution, this is not the case for career education programs. As was said about this problem in Canada, community college career programs were designed to prepare graduates for the workforce, and their curriculum tends not to mesh with the curriculum of four-year institutions (Baker, 2002).</w:t>
      </w:r>
    </w:p>
    <w:p w:rsidR="00000000" w:rsidDel="00000000" w:rsidP="00000000" w:rsidRDefault="00000000" w:rsidRPr="00000000">
      <w:pPr>
        <w:spacing w:after="0" w:before="0" w:line="480" w:lineRule="auto"/>
        <w:ind w:left="0" w:firstLine="720"/>
        <w:contextualSpacing w:val="0"/>
        <w:jc w:val="both"/>
      </w:pPr>
      <w:r w:rsidDel="00000000" w:rsidR="00000000" w:rsidRPr="00000000">
        <w:rPr>
          <w:rFonts w:ascii="Times New Roman" w:cs="Times New Roman" w:eastAsia="Times New Roman" w:hAnsi="Times New Roman"/>
          <w:b w:val="0"/>
          <w:color w:val="000000"/>
          <w:sz w:val="24"/>
          <w:szCs w:val="24"/>
          <w:rtl w:val="0"/>
        </w:rPr>
        <w:t xml:space="preserve">The limited amount of research that has been done that compares the experience of students in different kinds of associate degree programs suggests that the baccalaureate degree attainment rate is significantly lower for those in career-focused programs than for those in academic programs. As early as 1991, Grubb reported that the transfer rate for recipients of vocational associate degrees was less than half the rate for those who completed academic associate degrees (Grubb, 1991). He found great differences in the probability of completing a baccalaureate degree between those who started in a vocational program and those who started in an academic program. </w:t>
      </w:r>
    </w:p>
    <w:p w:rsidR="00000000" w:rsidDel="00000000" w:rsidP="00000000" w:rsidRDefault="00000000" w:rsidRPr="00000000">
      <w:pPr>
        <w:spacing w:after="0" w:before="0" w:line="480" w:lineRule="auto"/>
        <w:ind w:left="0" w:firstLine="720"/>
        <w:contextualSpacing w:val="0"/>
        <w:jc w:val="both"/>
      </w:pPr>
      <w:r w:rsidDel="00000000" w:rsidR="00000000" w:rsidRPr="00000000">
        <w:rPr>
          <w:rFonts w:ascii="Times New Roman" w:cs="Times New Roman" w:eastAsia="Times New Roman" w:hAnsi="Times New Roman"/>
          <w:b w:val="0"/>
          <w:color w:val="000000"/>
          <w:sz w:val="24"/>
          <w:szCs w:val="24"/>
          <w:rtl w:val="0"/>
        </w:rPr>
        <w:t xml:space="preserve">A decade later, Townsend reported even greater differences in transfer rates between these two groups (Townsend, 2002). Her estimates of transfer rates for academic and vocational associate degree graduates, respectively, for four states in the mid to late 1990s were: Missouri, 41% and 9%; Oregon, 55% and 11%; Texas, 36% and 6%; and Washington, 52% and 5% . That such differences might be inherent in this particular type of organization of higher education rather than being a uniquely American phenomenon is suggested by the experience of British Columbia, the Canadian province with the most well-developed transfer system. The corresponding figures for that province in 2003 were 41% for arts &amp; sciences graduates and 8% for graduates of vocational programs (Association of Colleges of Applied Arts &amp; Technology, 2005).  Similarly, Alfonso, Bailey, and Scott (2005) found that even after controlling for demographic, socio-economic, educational background, and pathway variables, students in occupational programs were far less likely to transfer to a baccalaureate program and less likely to complete a baccalaureate degree than students in academic programs (Alfonso, Bailey, and Scott, 2005). </w:t>
      </w:r>
    </w:p>
    <w:p w:rsidR="00000000" w:rsidDel="00000000" w:rsidP="00000000" w:rsidRDefault="00000000" w:rsidRPr="00000000">
      <w:pPr>
        <w:spacing w:after="0" w:before="0" w:line="480" w:lineRule="auto"/>
        <w:ind w:left="0" w:firstLine="720"/>
        <w:contextualSpacing w:val="0"/>
        <w:jc w:val="both"/>
      </w:pPr>
      <w:r w:rsidDel="00000000" w:rsidR="00000000" w:rsidRPr="00000000">
        <w:rPr>
          <w:rFonts w:ascii="Times New Roman" w:cs="Times New Roman" w:eastAsia="Times New Roman" w:hAnsi="Times New Roman"/>
          <w:b w:val="0"/>
          <w:color w:val="000000"/>
          <w:sz w:val="24"/>
          <w:szCs w:val="24"/>
          <w:rtl w:val="0"/>
        </w:rPr>
        <w:t xml:space="preserve">In addition to the barriers that any associate degree graduate may face, such as being place-bound, being confronted with inflexible class schedules, or lacking sufficient financial resources, graduates of occupational programs may have to deal with additional barriers, like not being able to find a program in a near-by four-year institution that is related to the field of their associate degree, “credit transfer policies that exclude technical credits, and restrictive articulation agreements that typically result in substantial credit loss” (Chase, 2011, p. 377). Chase notes that these kinds of barriers impact particularly on minority students because they tend to be disproportionately represented in career and technical programs (Chase, 2011). </w:t>
      </w:r>
    </w:p>
    <w:p w:rsidR="00000000" w:rsidDel="00000000" w:rsidP="00000000" w:rsidRDefault="00000000" w:rsidRPr="00000000">
      <w:pPr>
        <w:spacing w:after="0" w:before="0" w:line="480" w:lineRule="auto"/>
        <w:ind w:left="0" w:firstLine="720"/>
        <w:contextualSpacing w:val="0"/>
        <w:jc w:val="both"/>
      </w:pPr>
      <w:r w:rsidDel="00000000" w:rsidR="00000000" w:rsidRPr="00000000">
        <w:rPr>
          <w:rFonts w:ascii="Times New Roman" w:cs="Times New Roman" w:eastAsia="Times New Roman" w:hAnsi="Times New Roman"/>
          <w:b w:val="0"/>
          <w:color w:val="000000"/>
          <w:sz w:val="24"/>
          <w:szCs w:val="24"/>
          <w:rtl w:val="0"/>
        </w:rPr>
        <w:t xml:space="preserve">An alternative to wrestling with the various barriers to transfer that began to appear in the late 1990s in the United States was for community colleges to extend some of their two-year programs into four-year programs and award baccalaureate degrees themselves (Floyd, Skolnik, and Walker, 2005). The motivation for the community college baccalaureate degree was not just frustration with the limitations of the transfer process, but that was certainly an important element in some jurisdictions. For example, a study of the introduction of the community college baccalaureate degree in Ontario found frustration with the limitations of the transfer process to be an important factor (Skolnik, 2009). In his pioneering writing about the community college baccalaureate degree in the United States, Walker assigns an important role to barriers that community college students experience when trying to complete a baccalaureate degree in his explanation of the rationale for this development (Walker, 2005, p. 13). Walker and other proponents of the community college baccalaureate in the United States have also identified the same three rationales for the community college baccalaureate as motivated the development of a parallel sector of baccalaureate granting institutions in Europe: increasing access to the baccalaureate degree; producing graduates with the knowledge and skills that will contribute to economic growth and productivity; and offering programs at the baccalaureate level that are less costly than those of traditional universities </w:t>
      </w:r>
    </w:p>
    <w:p w:rsidR="00000000" w:rsidDel="00000000" w:rsidP="00000000" w:rsidRDefault="00000000" w:rsidRPr="00000000">
      <w:pPr>
        <w:spacing w:after="0" w:before="0" w:line="480" w:lineRule="auto"/>
        <w:ind w:left="0" w:firstLine="720"/>
        <w:contextualSpacing w:val="0"/>
        <w:jc w:val="both"/>
      </w:pPr>
      <w:r w:rsidDel="00000000" w:rsidR="00000000" w:rsidRPr="00000000">
        <w:rPr>
          <w:rFonts w:ascii="Times New Roman" w:cs="Times New Roman" w:eastAsia="Times New Roman" w:hAnsi="Times New Roman"/>
          <w:b w:val="0"/>
          <w:color w:val="000000"/>
          <w:sz w:val="24"/>
          <w:szCs w:val="24"/>
          <w:rtl w:val="0"/>
        </w:rPr>
        <w:t xml:space="preserve">Presently the scale of the community college baccalaureate in the United States is quite modest. In 2013, 57 community colleges in 18 states had received approval to award baccalaureate degrees and in total were offering 468 programs (Russell 2013). Community colleges have moved the furthest toward becoming baccalaureate granting institutions in Florida where 23 of the 28 colleges offer in total 150 baccalaureate degree programs (Cunningham, 2015). In 2011, over 25 thousand students were enrolled in baccalaureate programs in the Florida college system.  The reasons why the Florida college system was given a major role in providing baccalaureate programs were that in spite of a well-developed transfer system, the state was lagging behind most of the rest of the country in baccalaureate attainment; there were critical shortages of workers in high demand areas for which a baccalaureate degree was needed; and it was deemed that the colleges could provide the programs that were needed to expand access and meet workforce needs in an economical manner (Furlong, 2005; Floyd &amp; Falconetti, 2013; Cunningham, 2015). Since Russell’s review of the situation in 2013, four more states have authorized community colleges to award baccalaureate degrees, including California where approval of a pilot program that allows 15 colleges to award baccalaureate degrees was given in January, 2015 (Asimov, 2015). </w:t>
      </w:r>
    </w:p>
    <w:p w:rsidR="00000000" w:rsidDel="00000000" w:rsidP="00000000" w:rsidRDefault="00000000" w:rsidRPr="00000000">
      <w:pPr>
        <w:spacing w:after="0" w:before="0" w:line="480" w:lineRule="auto"/>
        <w:ind w:left="0" w:firstLine="720"/>
        <w:contextualSpacing w:val="0"/>
        <w:jc w:val="both"/>
      </w:pPr>
      <w:r w:rsidDel="00000000" w:rsidR="00000000" w:rsidRPr="00000000">
        <w:rPr>
          <w:rFonts w:ascii="Times New Roman" w:cs="Times New Roman" w:eastAsia="Times New Roman" w:hAnsi="Times New Roman"/>
          <w:b w:val="0"/>
          <w:color w:val="000000"/>
          <w:sz w:val="24"/>
          <w:szCs w:val="24"/>
          <w:rtl w:val="0"/>
        </w:rPr>
        <w:t xml:space="preserve">In the advocacy literature for the community college baccalaureate in the United States (and in Canada as well), scarcely any reference is ever made to the evolution of the institutions that provided sub-baccalaureate vocational education in Europe. However, as the same arguments are being given as to why community colleges in the United States should award baccalaureate degrees as were given in many European countries for why vocational institutions should offer baccalaureate degrees there, it is tempting to describe this development in the United States as a move toward the “Europeanization” of American higher education. Of course, it is too early to tell if this movement will go as far in the United States as it has in Europe.</w:t>
      </w:r>
    </w:p>
    <w:p w:rsidR="00000000" w:rsidDel="00000000" w:rsidP="00000000" w:rsidRDefault="00000000" w:rsidRPr="00000000">
      <w:pPr>
        <w:spacing w:after="0" w:before="0" w:line="480" w:lineRule="auto"/>
        <w:ind w:left="0" w:firstLine="720"/>
        <w:contextualSpacing w:val="0"/>
        <w:jc w:val="both"/>
      </w:pPr>
      <w:r w:rsidDel="00000000" w:rsidR="00000000" w:rsidRPr="00000000">
        <w:rPr>
          <w:rFonts w:ascii="Times New Roman" w:cs="Times New Roman" w:eastAsia="Times New Roman" w:hAnsi="Times New Roman"/>
          <w:b w:val="0"/>
          <w:color w:val="000000"/>
          <w:sz w:val="24"/>
          <w:szCs w:val="24"/>
          <w:rtl w:val="0"/>
        </w:rPr>
        <w:t xml:space="preserve">It is perhaps noteworthy that in 2014, a large vote was cast in favor of the benefits of the European Model when China’s Ministry of Education announced its intention to effect a gradual transition to a dual postsecondary system that would consist of traditional universities on the one hand, and a new system of applied higher education institutions on the other (Sharma, 2014). According to Qiang Zha, an expert on Chinese higher education, the new institutions are intended to be similar to the </w:t>
      </w:r>
      <w:r w:rsidDel="00000000" w:rsidR="00000000" w:rsidRPr="00000000">
        <w:rPr>
          <w:rFonts w:ascii="Times New Roman" w:cs="Times New Roman" w:eastAsia="Times New Roman" w:hAnsi="Times New Roman"/>
          <w:b w:val="0"/>
          <w:i w:val="1"/>
          <w:color w:val="000000"/>
          <w:sz w:val="24"/>
          <w:szCs w:val="24"/>
          <w:rtl w:val="0"/>
        </w:rPr>
        <w:t xml:space="preserve">Fachhochschulen</w:t>
      </w:r>
      <w:r w:rsidDel="00000000" w:rsidR="00000000" w:rsidRPr="00000000">
        <w:rPr>
          <w:rFonts w:ascii="Times New Roman" w:cs="Times New Roman" w:eastAsia="Times New Roman" w:hAnsi="Times New Roman"/>
          <w:b w:val="0"/>
          <w:color w:val="000000"/>
          <w:sz w:val="24"/>
          <w:szCs w:val="24"/>
          <w:rtl w:val="0"/>
        </w:rPr>
        <w:t xml:space="preserve"> in Germany (Sharma, 2014). However, rather than expanding the mandate of vocational colleges that offer programs at the sub-baccalaureate level, as other jurisdictions that have adopted this model have done, China intends to come at this reform from the other direction, transforming at least half its existing public universities into applied higher education institutions that will produce technically trained graduates. </w:t>
      </w:r>
    </w:p>
    <w:p w:rsidR="00000000" w:rsidDel="00000000" w:rsidP="00000000" w:rsidRDefault="00000000" w:rsidRPr="00000000">
      <w:pPr>
        <w:spacing w:after="0" w:before="0" w:line="480" w:lineRule="auto"/>
        <w:ind w:left="0" w:firstLine="0"/>
        <w:contextualSpacing w:val="0"/>
        <w:jc w:val="center"/>
      </w:pPr>
      <w:r w:rsidDel="00000000" w:rsidR="00000000" w:rsidRPr="00000000">
        <w:rPr>
          <w:rFonts w:ascii="Times New Roman" w:cs="Times New Roman" w:eastAsia="Times New Roman" w:hAnsi="Times New Roman"/>
          <w:b w:val="1"/>
          <w:color w:val="000000"/>
          <w:sz w:val="24"/>
          <w:szCs w:val="24"/>
          <w:rtl w:val="0"/>
        </w:rPr>
        <w:t xml:space="preserve">IMPLICATIONS AND CONCLUSIONS</w:t>
      </w:r>
      <w:r w:rsidDel="00000000" w:rsidR="00000000" w:rsidRPr="00000000">
        <w:rPr>
          <w:rtl w:val="0"/>
        </w:rPr>
      </w:r>
    </w:p>
    <w:p w:rsidR="00000000" w:rsidDel="00000000" w:rsidP="00000000" w:rsidRDefault="00000000" w:rsidRPr="00000000">
      <w:pPr>
        <w:spacing w:after="0" w:before="0" w:line="480" w:lineRule="auto"/>
        <w:ind w:left="0" w:firstLine="0"/>
        <w:contextualSpacing w:val="0"/>
      </w:pPr>
      <w:r w:rsidDel="00000000" w:rsidR="00000000" w:rsidRPr="00000000">
        <w:rPr>
          <w:rFonts w:ascii="Times New Roman" w:cs="Times New Roman" w:eastAsia="Times New Roman" w:hAnsi="Times New Roman"/>
          <w:b w:val="0"/>
          <w:color w:val="000000"/>
          <w:sz w:val="24"/>
          <w:szCs w:val="24"/>
          <w:rtl w:val="0"/>
        </w:rPr>
        <w:t xml:space="preserve">The principal reactions of educators, commentators, and policy-makers to news of the decline in the international ranking of the United States in college degree attainment have been to express alarm over the trend and to muster resolve to reverse it. Understandable as these reactions may be, there are two other possible responses that perhaps should take precedence over these reactions. One is to determine whether this change in ranking actually does constitute a problem, and if so, the magnitude of the problem. The other is to see what might be learned by probing into the factors and conditions that underlie the attainment rate numbers of other countries. The first of these tasks raises questions about the relationship between a country’s level of educational attainment and its productivity and economic competitiveness. These are devilishly complex questions, and attempting to provide answers to them is well beyond the scope of this article. However, we can offer some observations to help provide a perspective on this type of response to the attainment ranking data.</w:t>
      </w:r>
    </w:p>
    <w:p w:rsidR="00000000" w:rsidDel="00000000" w:rsidP="00000000" w:rsidRDefault="00000000" w:rsidRPr="00000000">
      <w:pPr>
        <w:spacing w:after="0" w:before="0" w:line="480" w:lineRule="auto"/>
        <w:ind w:left="0" w:firstLine="720"/>
        <w:contextualSpacing w:val="0"/>
      </w:pPr>
      <w:r w:rsidDel="00000000" w:rsidR="00000000" w:rsidRPr="00000000">
        <w:rPr>
          <w:rFonts w:ascii="Times New Roman" w:cs="Times New Roman" w:eastAsia="Times New Roman" w:hAnsi="Times New Roman"/>
          <w:b w:val="0"/>
          <w:color w:val="000000"/>
          <w:sz w:val="24"/>
          <w:szCs w:val="24"/>
          <w:rtl w:val="0"/>
        </w:rPr>
        <w:t xml:space="preserve">The idea that there is an urgent need for the United States to substantially increase its rate of attainment of postsecondary education credentials because other countries are overtaking it is rather paradoxical when productivity is higher in the United States than in almost all those other countries. For example, the three countries that in 2012 had rates of total tertiary attainment for the 25-64 age group that exceeded that of the United States – Canada, Japan, and Israel – all had levels of GDP per hour worked in 2013 that were well below that of the United States (OECD, 2015). Canada had the highest GDP per hour worked of the three, but its figure was 25% less than that of the United States. Of the 11 countries whose rate of attainment of a baccalaureate or higher degree for 25-34 year olds exceeded that of the United States – Norway, Poland, Luxembourg, Korea, Netherlands, United Kingdom, Finland, Australia, Iceland, Denmark, and Japan -  only Luxembourg and Norway had levels of GDP per hour worked that exceeded that of the United States. However, while productivity grew at an average annual rate of 0.3% in Norway and 0.9% in Luxembourg between 2001 and 2013, it grew by 1.6% in the United States (OECD.Stat, 2015).  </w:t>
      </w:r>
    </w:p>
    <w:p w:rsidR="00000000" w:rsidDel="00000000" w:rsidP="00000000" w:rsidRDefault="00000000" w:rsidRPr="00000000">
      <w:pPr>
        <w:spacing w:after="0" w:before="0" w:line="480" w:lineRule="auto"/>
        <w:ind w:left="0" w:firstLine="720"/>
        <w:contextualSpacing w:val="0"/>
      </w:pPr>
      <w:r w:rsidDel="00000000" w:rsidR="00000000" w:rsidRPr="00000000">
        <w:rPr>
          <w:rFonts w:ascii="Times New Roman" w:cs="Times New Roman" w:eastAsia="Times New Roman" w:hAnsi="Times New Roman"/>
          <w:b w:val="0"/>
          <w:color w:val="000000"/>
          <w:sz w:val="24"/>
          <w:szCs w:val="24"/>
          <w:rtl w:val="0"/>
        </w:rPr>
        <w:t xml:space="preserve">The comparison with Canada is particularly interesting because the OECD figures show Canada to have the highest total rate of attainment of tertiary education among OECD countries, and Canadian researchers and policymakers have long had a fixation on the gap in per capita income and productivity between Canada and the United States. In 1966, a study by the Economic Council of Canada reported that GNP per capita was 25% lower in Canada than in the United States, and it attributed one-third of this difference to the fact that the Canadian labor force was less educated than its American counterpart (Bertram, 1966). The median years of formal education in Canada were then about two years less than in the United States.  By 2010, Canada had virtually closed the education gap, as the average number of years of formal education was 13.3 in the United States and 13.2 in Canada (OECD, 2014b). However, Canada’s productivity relative to that of the United States, as measured by GDP per worker, declined from 72.4 in 1969 to 70.5 in 2014 (Centre for the Study of Living Standards, 2015, Table 7). Between these two countries there was thus a negative correlation between the education differential and the productivity differential.  </w:t>
      </w:r>
    </w:p>
    <w:p w:rsidR="00000000" w:rsidDel="00000000" w:rsidP="00000000" w:rsidRDefault="00000000" w:rsidRPr="00000000">
      <w:pPr>
        <w:spacing w:after="0" w:before="0" w:line="480" w:lineRule="auto"/>
        <w:ind w:left="0" w:firstLine="720"/>
        <w:contextualSpacing w:val="0"/>
      </w:pPr>
      <w:r w:rsidDel="00000000" w:rsidR="00000000" w:rsidRPr="00000000">
        <w:rPr>
          <w:rFonts w:ascii="Times New Roman" w:cs="Times New Roman" w:eastAsia="Times New Roman" w:hAnsi="Times New Roman"/>
          <w:b w:val="0"/>
          <w:color w:val="000000"/>
          <w:sz w:val="24"/>
          <w:szCs w:val="24"/>
          <w:rtl w:val="0"/>
        </w:rPr>
        <w:t xml:space="preserve">This example lends support to Hauptman’s contention that what matters more than where a nation’s educational attainment rate stands in international comparisons is whether its educational institutions are turning out sufficient numbers of  graduates with the levels and types of education that are needed (Hauptman, 2013). Among the relatively few studies that have focused specifically on this question, opinion is somewhat divided. </w:t>
      </w:r>
    </w:p>
    <w:p w:rsidR="00000000" w:rsidDel="00000000" w:rsidP="00000000" w:rsidRDefault="00000000" w:rsidRPr="00000000">
      <w:pPr>
        <w:spacing w:after="0" w:before="0" w:line="480" w:lineRule="auto"/>
        <w:ind w:left="0" w:firstLine="720"/>
        <w:contextualSpacing w:val="0"/>
      </w:pPr>
      <w:r w:rsidDel="00000000" w:rsidR="00000000" w:rsidRPr="00000000">
        <w:rPr>
          <w:rFonts w:ascii="Times New Roman" w:cs="Times New Roman" w:eastAsia="Times New Roman" w:hAnsi="Times New Roman"/>
          <w:b w:val="0"/>
          <w:color w:val="000000"/>
          <w:sz w:val="24"/>
          <w:szCs w:val="24"/>
          <w:rtl w:val="0"/>
        </w:rPr>
        <w:t xml:space="preserve">Hauptman notes that many of the countries that are overtaking the United States in attainment rates have much lower birth rates and levels of immigration than the United States, and that differences between the United States and other countries in demographic trends may be as important, or even more important, than differences in attainment rates (Hauptman, 2013). He points out that the absolute number of 25-34 year olds in the United States with a college degree is likely to grow from 18.1 million to 22.4 million, an increase of 24%, between 2010 and 2020 (Hauptman, 2013, p. 30), which may be a larger rate of  increase than for some countries with higher attainment rates.</w:t>
      </w:r>
    </w:p>
    <w:p w:rsidR="00000000" w:rsidDel="00000000" w:rsidP="00000000" w:rsidRDefault="00000000" w:rsidRPr="00000000">
      <w:pPr>
        <w:spacing w:after="0" w:before="0" w:line="480" w:lineRule="auto"/>
        <w:ind w:left="0" w:firstLine="720"/>
        <w:contextualSpacing w:val="0"/>
      </w:pPr>
      <w:r w:rsidDel="00000000" w:rsidR="00000000" w:rsidRPr="00000000">
        <w:rPr>
          <w:rFonts w:ascii="Times New Roman" w:cs="Times New Roman" w:eastAsia="Times New Roman" w:hAnsi="Times New Roman"/>
          <w:b w:val="0"/>
          <w:color w:val="000000"/>
          <w:sz w:val="24"/>
          <w:szCs w:val="24"/>
          <w:rtl w:val="0"/>
        </w:rPr>
        <w:t xml:space="preserve">In regard to the labor demand side, a widely publicized projection study by the Georgetown University Center on Education and the Workforce (Carnevale, Smith, &amp; Strohl, 2010) predicted that nearly two-thirds of the jobs created by 2018 in the United States would require a college degree, about half of them at the sub-baccalaureate level and half at the baccalaureate or higher degree level. These demand projections would imply a shortfall of about 3 million college graduates (Carnevale et. al., 2010). Indicative of how widely cited the Georgetown projections have become, it is worth noting that they were used in the 2013 OECD review of vocational education in the United States to indicate the scale of the need for sub-baccalaureate level vocational education in the country (Kuzcera &amp; Field, 2013).</w:t>
      </w:r>
    </w:p>
    <w:p w:rsidR="00000000" w:rsidDel="00000000" w:rsidP="00000000" w:rsidRDefault="00000000" w:rsidRPr="00000000">
      <w:pPr>
        <w:spacing w:after="0" w:before="0" w:line="480" w:lineRule="auto"/>
        <w:ind w:left="0" w:firstLine="720"/>
        <w:contextualSpacing w:val="0"/>
      </w:pPr>
      <w:r w:rsidDel="00000000" w:rsidR="00000000" w:rsidRPr="00000000">
        <w:rPr>
          <w:rFonts w:ascii="Times New Roman" w:cs="Times New Roman" w:eastAsia="Times New Roman" w:hAnsi="Times New Roman"/>
          <w:b w:val="0"/>
          <w:color w:val="000000"/>
          <w:sz w:val="24"/>
          <w:szCs w:val="24"/>
          <w:rtl w:val="0"/>
        </w:rPr>
        <w:t xml:space="preserve">In spite of how widely cited these projections may be, they are not without their critics. The Georgetown projections differ substantially from those of the Bureau of Labor Statistics (BLS), and some critics have argued that the projections dramatically overestimate the number of college graduates that will be needed by the economy (Harrington &amp; Sum, 2010).  Among their criticisms, Harrington &amp; Sum note that the Georgetown projections exclude the possibility of underemployment, which according to some critics is rampant. Cappelli suggests that the average worker in the United States has about 30 per cent more education than their job requires and that this figure has been rising (Cappelli, 2015).</w:t>
      </w:r>
    </w:p>
    <w:p w:rsidR="00000000" w:rsidDel="00000000" w:rsidP="00000000" w:rsidRDefault="00000000" w:rsidRPr="00000000">
      <w:pPr>
        <w:spacing w:after="0" w:before="0" w:line="480" w:lineRule="auto"/>
        <w:ind w:left="0" w:firstLine="720"/>
        <w:contextualSpacing w:val="0"/>
      </w:pPr>
      <w:r w:rsidDel="00000000" w:rsidR="00000000" w:rsidRPr="00000000">
        <w:rPr>
          <w:rFonts w:ascii="Times New Roman" w:cs="Times New Roman" w:eastAsia="Times New Roman" w:hAnsi="Times New Roman"/>
          <w:b w:val="0"/>
          <w:color w:val="000000"/>
          <w:sz w:val="24"/>
          <w:szCs w:val="24"/>
          <w:rtl w:val="0"/>
        </w:rPr>
        <w:t xml:space="preserve">Although Neumark, Johnson, &amp; Mejia (2013) expressed some concerns about the data used by the BLS, they did not concur with the Georgetown projections of large national skill shortages in the near term, a finding that they judged to be “unfounded” (Neumark et al., 2013, p. 165). However Neumark et al. suggested that based on recent trends, some shortages of educated workers could develop in the longer term as baby boomers retired; and they cautioned that some shortages could develop sooner in a few states (particularly California, Florida, and Texas) and perhaps in some specific occupations (Newmark et al., 2013).</w:t>
      </w:r>
    </w:p>
    <w:p w:rsidR="00000000" w:rsidDel="00000000" w:rsidP="00000000" w:rsidRDefault="00000000" w:rsidRPr="00000000">
      <w:pPr>
        <w:spacing w:after="0" w:before="0" w:line="480" w:lineRule="auto"/>
        <w:ind w:left="0" w:firstLine="0"/>
        <w:contextualSpacing w:val="0"/>
      </w:pPr>
      <w:r w:rsidDel="00000000" w:rsidR="00000000" w:rsidRPr="00000000">
        <w:rPr>
          <w:rFonts w:ascii="Times New Roman" w:cs="Times New Roman" w:eastAsia="Times New Roman" w:hAnsi="Times New Roman"/>
          <w:b w:val="0"/>
          <w:color w:val="000000"/>
          <w:sz w:val="24"/>
          <w:szCs w:val="24"/>
          <w:rtl w:val="0"/>
        </w:rPr>
        <w:tab/>
        <w:t xml:space="preserve">When we probe into the factors that underlie the comparative figures on educational attainment, we discover problems of comparability between the measured rates for different countries, particularly with respect to attainment of sub-baccalaureate credentials. We noted earlier the conclusion of Norrie &amp; Lin (2009) that these comparisons are not very meaningful because of international differences in what is counted as postsecondary sub-baccalaureate education. </w:t>
      </w:r>
    </w:p>
    <w:p w:rsidR="00000000" w:rsidDel="00000000" w:rsidP="00000000" w:rsidRDefault="00000000" w:rsidRPr="00000000">
      <w:pPr>
        <w:spacing w:after="0" w:before="0" w:line="480" w:lineRule="auto"/>
        <w:ind w:left="0" w:firstLine="720"/>
        <w:contextualSpacing w:val="0"/>
      </w:pPr>
      <w:r w:rsidDel="00000000" w:rsidR="00000000" w:rsidRPr="00000000">
        <w:rPr>
          <w:rFonts w:ascii="Times New Roman" w:cs="Times New Roman" w:eastAsia="Times New Roman" w:hAnsi="Times New Roman"/>
          <w:b w:val="0"/>
          <w:color w:val="000000"/>
          <w:sz w:val="24"/>
          <w:szCs w:val="24"/>
          <w:rtl w:val="0"/>
        </w:rPr>
        <w:t xml:space="preserve">Another concern is that the context for figures on the attainment of a sub-baccalaureate credential is quite different in a country like the United States in which there are well-developed arrangements for moving up the ladder from a sub-baccalaureate credential to the attainment of a baccalaureate degree than in countries which do not have such arrangements. In countries of the latter type, the attainment rate of sub-baccalaureate credentials might be taken as an indicator of the performance of the institutions that award sub-baccalaureate credentials. However, in a country where more students start postsecondary education in two-year than in four-institutions, the interdependence between the associate degree and the baccalaureate degree limit the usefulness of the rate of attainment of an associate degree as a performance indicator for institutions whose main mission is to provide education to the associate degree level. If the goal of 80% of students who enter associate degree programs is to attain a baccalaureate degree, then it might be argued that the performance of the community college sector would be inversely related to the proportion of entrants to associate degree programs whose highest academic credential years later is an associate degree. At any rate, there are sufficient problems surrounding international comparisons of attainment of sub-baccalaureate credentials to call into question the usefulness of formulating a national target for the combined rate of sub-baccalaureate and baccalaureate degree attainment. </w:t>
      </w:r>
    </w:p>
    <w:p w:rsidR="00000000" w:rsidDel="00000000" w:rsidP="00000000" w:rsidRDefault="00000000" w:rsidRPr="00000000">
      <w:pPr>
        <w:spacing w:after="0" w:before="0" w:line="480" w:lineRule="auto"/>
        <w:ind w:left="0" w:firstLine="720"/>
        <w:contextualSpacing w:val="0"/>
      </w:pPr>
      <w:r w:rsidDel="00000000" w:rsidR="00000000" w:rsidRPr="00000000">
        <w:rPr>
          <w:rFonts w:ascii="Times New Roman" w:cs="Times New Roman" w:eastAsia="Times New Roman" w:hAnsi="Times New Roman"/>
          <w:b w:val="0"/>
          <w:color w:val="000000"/>
          <w:sz w:val="24"/>
          <w:szCs w:val="24"/>
          <w:rtl w:val="0"/>
        </w:rPr>
        <w:t xml:space="preserve">When focusing on the baccalaureate degree attainment rate, something that stands out in international comparisons is the important role that having a substantial public sector of vocationally oriented postsecondary institutions plays in many countries that have high and/or rapidly increasing rates of attainment, particularly in Europe, such as Norway, Netherlands, Finland, and Denmark. Although a few countries that employ the American model, notably Korea and Japan, seem to be doing quite well in educational attainment, the European model has helped many countries increase their rates of educational attainment. Directing attention to the role that parallel sectors of vocationally-oriented, baccalaureate granting institutions play in many countries, and how they perform this function, may be helpful to community college leaders who want to make a case for their institutions to award baccalaureate degrees or to gain approval to increase the scale of their baccalaureate programs. </w:t>
      </w:r>
    </w:p>
    <w:p w:rsidR="00000000" w:rsidDel="00000000" w:rsidP="00000000" w:rsidRDefault="00000000" w:rsidRPr="00000000">
      <w:pPr>
        <w:spacing w:after="0" w:before="0" w:line="480" w:lineRule="auto"/>
        <w:ind w:left="0" w:firstLine="720"/>
        <w:contextualSpacing w:val="0"/>
      </w:pPr>
      <w:r w:rsidDel="00000000" w:rsidR="00000000" w:rsidRPr="00000000">
        <w:rPr>
          <w:rFonts w:ascii="Times New Roman" w:cs="Times New Roman" w:eastAsia="Times New Roman" w:hAnsi="Times New Roman"/>
          <w:b w:val="0"/>
          <w:color w:val="000000"/>
          <w:sz w:val="24"/>
          <w:szCs w:val="24"/>
          <w:rtl w:val="0"/>
        </w:rPr>
        <w:t xml:space="preserve">Because American community colleges attract many vocationally-oriented students who do not feel ready for, or may not be as likely to be admitted directly to, a four-year institution, it is quite possible that a higher proportion of them would be able to obtain a baccalaureate degree if they could do a four-year program wholly within the environment of a community college that has become familiar to them than are able to survive the transfer route. If this were indeed to be the case, then increasing the prevalence of the community college baccalaureate degree might be a very effective way of boosting the Tertiary A attainment rate of the United States. </w:t>
      </w:r>
    </w:p>
    <w:p w:rsidR="00000000" w:rsidDel="00000000" w:rsidP="00000000" w:rsidRDefault="00000000" w:rsidRPr="00000000">
      <w:pPr>
        <w:spacing w:after="0" w:before="0" w:line="480" w:lineRule="auto"/>
        <w:ind w:left="0" w:firstLine="720"/>
        <w:contextualSpacing w:val="0"/>
      </w:pPr>
      <w:r w:rsidDel="00000000" w:rsidR="00000000" w:rsidRPr="00000000">
        <w:rPr>
          <w:rFonts w:ascii="Times New Roman" w:cs="Times New Roman" w:eastAsia="Times New Roman" w:hAnsi="Times New Roman"/>
          <w:b w:val="0"/>
          <w:color w:val="000000"/>
          <w:sz w:val="24"/>
          <w:szCs w:val="24"/>
          <w:rtl w:val="0"/>
        </w:rPr>
        <w:t xml:space="preserve">One of the main criticisms of the idea of community colleges awarding baccalaureate degrees is that doing so might divert attention and resources from their more traditional activities (Townsend, 2005). The extraordinary decline in the rate of attainment of postsecondary vocational credentials at the sub-baccalaureate level when Finland reorganized its vocational colleges into baccalaureate granting polytechnic institutes provides a reason for taking this concern seriously. However, a study in British Columbia, which was the first of any Canadian province or American state where community colleges added the awarding of baccalaureate degrees to their mission, showed that enrolment in sub-baccalaureate programs remained stable or increased as community colleges expanded their offerings of baccalaureate programs (Fleming &amp; Lee, 2009). The majority of Canada’s provinces now allow community colleges to award baccalaureate degrees (Weinrib &amp; Jones, 2014), and Canada’s Tertiary B attainment rate has increased apace with the expansion of baccalaureate programming in its community colleges. Though vigilance to this issue is appropriate, given the range and depth of involvement of American community colleges in offering programs at the sub-baccalaureate level, it is hard to see how that area of activity could be hurt significantly by a modest expansion of baccalaureate programming.</w:t>
      </w:r>
    </w:p>
    <w:p w:rsidR="00000000" w:rsidDel="00000000" w:rsidP="00000000" w:rsidRDefault="00000000" w:rsidRPr="00000000">
      <w:pPr>
        <w:spacing w:after="0" w:before="0" w:line="480" w:lineRule="auto"/>
        <w:ind w:left="0" w:firstLine="720"/>
        <w:contextualSpacing w:val="0"/>
      </w:pPr>
      <w:r w:rsidDel="00000000" w:rsidR="00000000" w:rsidRPr="00000000">
        <w:rPr>
          <w:rFonts w:ascii="Times New Roman" w:cs="Times New Roman" w:eastAsia="Times New Roman" w:hAnsi="Times New Roman"/>
          <w:b w:val="0"/>
          <w:color w:val="000000"/>
          <w:sz w:val="24"/>
          <w:szCs w:val="24"/>
          <w:rtl w:val="0"/>
        </w:rPr>
        <w:t xml:space="preserve">  </w:t>
      </w:r>
    </w:p>
    <w:p w:rsidR="00000000" w:rsidDel="00000000" w:rsidP="00000000" w:rsidRDefault="00000000" w:rsidRPr="00000000">
      <w:pPr>
        <w:spacing w:after="0" w:before="0" w:line="480" w:lineRule="auto"/>
        <w:ind w:left="720" w:firstLine="720"/>
        <w:contextualSpacing w:val="0"/>
        <w:jc w:val="both"/>
      </w:pPr>
      <w:r w:rsidDel="00000000" w:rsidR="00000000" w:rsidRPr="00000000">
        <w:rPr>
          <w:rFonts w:ascii="Times New Roman" w:cs="Times New Roman" w:eastAsia="Times New Roman" w:hAnsi="Times New Roman"/>
          <w:b w:val="0"/>
          <w:color w:val="000000"/>
          <w:sz w:val="24"/>
          <w:szCs w:val="24"/>
          <w:rtl w:val="0"/>
        </w:rPr>
        <w:t xml:space="preserve">  </w:t>
      </w:r>
    </w:p>
    <w:p w:rsidR="00000000" w:rsidDel="00000000" w:rsidP="00000000" w:rsidRDefault="00000000" w:rsidRPr="00000000">
      <w:pPr>
        <w:spacing w:after="0" w:before="0" w:line="480" w:lineRule="auto"/>
        <w:ind w:left="0" w:hanging="720"/>
        <w:contextualSpacing w:val="0"/>
      </w:pPr>
      <w:r w:rsidDel="00000000" w:rsidR="00000000" w:rsidRPr="00000000">
        <w:rPr>
          <w:rFonts w:ascii="Times New Roman" w:cs="Times New Roman" w:eastAsia="Times New Roman" w:hAnsi="Times New Roman"/>
          <w:b w:val="1"/>
          <w:color w:val="000000"/>
          <w:sz w:val="24"/>
          <w:szCs w:val="24"/>
          <w:rtl w:val="0"/>
        </w:rPr>
        <w:t xml:space="preserve">  </w:t>
        <w:tab/>
      </w:r>
      <w:r w:rsidDel="00000000" w:rsidR="00000000" w:rsidRPr="00000000">
        <w:rPr>
          <w:rFonts w:ascii="Times New Roman" w:cs="Times New Roman" w:eastAsia="Times New Roman" w:hAnsi="Times New Roman"/>
          <w:b w:val="1"/>
          <w:i w:val="1"/>
          <w:color w:val="000000"/>
          <w:sz w:val="24"/>
          <w:szCs w:val="24"/>
          <w:rtl w:val="0"/>
        </w:rPr>
        <w:t xml:space="preserve">REFERENCES</w:t>
      </w:r>
    </w:p>
    <w:p w:rsidR="00000000" w:rsidDel="00000000" w:rsidP="00000000" w:rsidRDefault="00000000" w:rsidRPr="00000000">
      <w:pPr>
        <w:contextualSpacing w:val="0"/>
      </w:pPr>
      <w:r w:rsidDel="00000000" w:rsidR="00000000" w:rsidRPr="00000000">
        <w:rPr>
          <w:rFonts w:ascii="Times New Roman" w:cs="Times New Roman" w:eastAsia="Times New Roman" w:hAnsi="Times New Roman"/>
          <w:sz w:val="24"/>
          <w:szCs w:val="24"/>
          <w:rtl w:val="0"/>
        </w:rPr>
        <w:t xml:space="preserve">Accreditation Organization of the Netherlands and Flanders (NVAO). 2005. Accreditation framework: Flanders. The Hague: NVAO. Retrieved from </w:t>
      </w:r>
      <w:hyperlink r:id="rId6">
        <w:r w:rsidDel="00000000" w:rsidR="00000000" w:rsidRPr="00000000">
          <w:rPr>
            <w:rFonts w:ascii="Times New Roman" w:cs="Times New Roman" w:eastAsia="Times New Roman" w:hAnsi="Times New Roman"/>
            <w:color w:val="0000ff"/>
            <w:sz w:val="24"/>
            <w:szCs w:val="24"/>
            <w:u w:val="single"/>
            <w:rtl w:val="0"/>
          </w:rPr>
          <w:t xml:space="preserve">http://nvao.com/page/downloads/NVAO_-_Accreditation_framework-FL.pdf</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pPr>
        <w:contextualSpacing w:val="0"/>
      </w:pPr>
      <w:r w:rsidDel="00000000" w:rsidR="00000000" w:rsidRPr="00000000">
        <w:rPr>
          <w:rFonts w:ascii="Times New Roman" w:cs="Times New Roman" w:eastAsia="Times New Roman" w:hAnsi="Times New Roman"/>
          <w:sz w:val="24"/>
          <w:szCs w:val="24"/>
          <w:rtl w:val="0"/>
        </w:rPr>
        <w:t xml:space="preserve">Alfonso, M., Bailey, T.R., and Scott, M. (2005). The educational outcomes of occupational sub-baccalaureate students: Evidence from the 1990s. </w:t>
      </w:r>
      <w:r w:rsidDel="00000000" w:rsidR="00000000" w:rsidRPr="00000000">
        <w:rPr>
          <w:rFonts w:ascii="Times New Roman" w:cs="Times New Roman" w:eastAsia="Times New Roman" w:hAnsi="Times New Roman"/>
          <w:i w:val="1"/>
          <w:sz w:val="24"/>
          <w:szCs w:val="24"/>
          <w:rtl w:val="0"/>
        </w:rPr>
        <w:t xml:space="preserve">Economics of Education Review</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24</w:t>
      </w:r>
      <w:r w:rsidDel="00000000" w:rsidR="00000000" w:rsidRPr="00000000">
        <w:rPr>
          <w:rFonts w:ascii="Times New Roman" w:cs="Times New Roman" w:eastAsia="Times New Roman" w:hAnsi="Times New Roman"/>
          <w:sz w:val="24"/>
          <w:szCs w:val="24"/>
          <w:rtl w:val="0"/>
        </w:rPr>
        <w:t xml:space="preserve">, 197-212.</w:t>
      </w:r>
    </w:p>
    <w:p w:rsidR="00000000" w:rsidDel="00000000" w:rsidP="00000000" w:rsidRDefault="00000000" w:rsidRPr="00000000">
      <w:pPr>
        <w:contextualSpacing w:val="0"/>
      </w:pPr>
      <w:r w:rsidDel="00000000" w:rsidR="00000000" w:rsidRPr="00000000">
        <w:rPr>
          <w:rFonts w:ascii="Times New Roman" w:cs="Times New Roman" w:eastAsia="Times New Roman" w:hAnsi="Times New Roman"/>
          <w:sz w:val="24"/>
          <w:szCs w:val="24"/>
          <w:rtl w:val="0"/>
        </w:rPr>
        <w:t xml:space="preserve">Asimov, N. (2015, January 20). 15 state community colleges get OK to offer bachelor’s degrees. </w:t>
      </w:r>
      <w:r w:rsidDel="00000000" w:rsidR="00000000" w:rsidRPr="00000000">
        <w:rPr>
          <w:rFonts w:ascii="Times New Roman" w:cs="Times New Roman" w:eastAsia="Times New Roman" w:hAnsi="Times New Roman"/>
          <w:i w:val="1"/>
          <w:sz w:val="24"/>
          <w:szCs w:val="24"/>
          <w:rtl w:val="0"/>
        </w:rPr>
        <w:t xml:space="preserve">SF Gate</w:t>
      </w:r>
      <w:r w:rsidDel="00000000" w:rsidR="00000000" w:rsidRPr="00000000">
        <w:rPr>
          <w:rFonts w:ascii="Times New Roman" w:cs="Times New Roman" w:eastAsia="Times New Roman" w:hAnsi="Times New Roman"/>
          <w:sz w:val="24"/>
          <w:szCs w:val="24"/>
          <w:rtl w:val="0"/>
        </w:rPr>
        <w:t xml:space="preserve">. Retrieved from </w:t>
      </w:r>
      <w:hyperlink r:id="rId7">
        <w:r w:rsidDel="00000000" w:rsidR="00000000" w:rsidRPr="00000000">
          <w:rPr>
            <w:rFonts w:ascii="Times New Roman" w:cs="Times New Roman" w:eastAsia="Times New Roman" w:hAnsi="Times New Roman"/>
            <w:color w:val="0000ff"/>
            <w:sz w:val="24"/>
            <w:szCs w:val="24"/>
            <w:u w:val="single"/>
            <w:rtl w:val="0"/>
          </w:rPr>
          <w:t xml:space="preserve">http://www.sfgate.com/bayarea/article/15-California-community-colleges-get-OK-to-offer-6028368.php</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pPr>
        <w:contextualSpacing w:val="0"/>
      </w:pPr>
      <w:r w:rsidDel="00000000" w:rsidR="00000000" w:rsidRPr="00000000">
        <w:rPr>
          <w:rFonts w:ascii="Times New Roman" w:cs="Times New Roman" w:eastAsia="Times New Roman" w:hAnsi="Times New Roman"/>
          <w:sz w:val="24"/>
          <w:szCs w:val="24"/>
          <w:rtl w:val="0"/>
        </w:rPr>
        <w:t xml:space="preserve">Association of Colleges of Applied Arts &amp; Technology of Ontario. (2005). </w:t>
      </w:r>
      <w:r w:rsidDel="00000000" w:rsidR="00000000" w:rsidRPr="00000000">
        <w:rPr>
          <w:rFonts w:ascii="Times New Roman" w:cs="Times New Roman" w:eastAsia="Times New Roman" w:hAnsi="Times New Roman"/>
          <w:i w:val="1"/>
          <w:sz w:val="24"/>
          <w:szCs w:val="24"/>
          <w:rtl w:val="0"/>
        </w:rPr>
        <w:t xml:space="preserve">Student mobility within Ontario’s postsecondary sector</w:t>
      </w:r>
      <w:r w:rsidDel="00000000" w:rsidR="00000000" w:rsidRPr="00000000">
        <w:rPr>
          <w:rFonts w:ascii="Times New Roman" w:cs="Times New Roman" w:eastAsia="Times New Roman" w:hAnsi="Times New Roman"/>
          <w:sz w:val="24"/>
          <w:szCs w:val="24"/>
          <w:rtl w:val="0"/>
        </w:rPr>
        <w:t xml:space="preserve">. Toronto: Author.</w:t>
      </w:r>
    </w:p>
    <w:p w:rsidR="00000000" w:rsidDel="00000000" w:rsidP="00000000" w:rsidRDefault="00000000" w:rsidRPr="00000000">
      <w:pPr>
        <w:contextualSpacing w:val="0"/>
      </w:pPr>
      <w:r w:rsidDel="00000000" w:rsidR="00000000" w:rsidRPr="00000000">
        <w:rPr>
          <w:rFonts w:ascii="Times New Roman" w:cs="Times New Roman" w:eastAsia="Times New Roman" w:hAnsi="Times New Roman"/>
          <w:sz w:val="24"/>
          <w:szCs w:val="24"/>
          <w:rtl w:val="0"/>
        </w:rPr>
        <w:t xml:space="preserve">Baker, D. N. (2002, July 24). On postsecondary quality assurance in Ontario: Introduction of the Postsecondary Education Quality Assessment Board, 2001-02. A presentation at the Fourth International Conference on Assessing Quality in Higher Education, University of Vienna, Austria.</w:t>
      </w:r>
    </w:p>
    <w:p w:rsidR="00000000" w:rsidDel="00000000" w:rsidP="00000000" w:rsidRDefault="00000000" w:rsidRPr="00000000">
      <w:pPr>
        <w:contextualSpacing w:val="0"/>
      </w:pPr>
      <w:r w:rsidDel="00000000" w:rsidR="00000000" w:rsidRPr="00000000">
        <w:rPr>
          <w:rFonts w:ascii="Times New Roman" w:cs="Times New Roman" w:eastAsia="Times New Roman" w:hAnsi="Times New Roman"/>
          <w:sz w:val="24"/>
          <w:szCs w:val="24"/>
          <w:rtl w:val="0"/>
        </w:rPr>
        <w:t xml:space="preserve">Bernstein, M.F. (2013, 7 October). Declining educational attainment. </w:t>
      </w:r>
      <w:r w:rsidDel="00000000" w:rsidR="00000000" w:rsidRPr="00000000">
        <w:rPr>
          <w:rFonts w:ascii="Times New Roman" w:cs="Times New Roman" w:eastAsia="Times New Roman" w:hAnsi="Times New Roman"/>
          <w:i w:val="1"/>
          <w:sz w:val="24"/>
          <w:szCs w:val="24"/>
          <w:rtl w:val="0"/>
        </w:rPr>
        <w:t xml:space="preserve">Huffington Post</w:t>
      </w:r>
      <w:r w:rsidDel="00000000" w:rsidR="00000000" w:rsidRPr="00000000">
        <w:rPr>
          <w:rFonts w:ascii="Times New Roman" w:cs="Times New Roman" w:eastAsia="Times New Roman" w:hAnsi="Times New Roman"/>
          <w:sz w:val="24"/>
          <w:szCs w:val="24"/>
          <w:rtl w:val="0"/>
        </w:rPr>
        <w:t xml:space="preserve">. Retrieved from </w:t>
      </w:r>
      <w:hyperlink r:id="rId8">
        <w:r w:rsidDel="00000000" w:rsidR="00000000" w:rsidRPr="00000000">
          <w:rPr>
            <w:rFonts w:ascii="Times New Roman" w:cs="Times New Roman" w:eastAsia="Times New Roman" w:hAnsi="Times New Roman"/>
            <w:color w:val="0000ff"/>
            <w:sz w:val="24"/>
            <w:szCs w:val="24"/>
            <w:u w:val="single"/>
            <w:rtl w:val="0"/>
          </w:rPr>
          <w:t xml:space="preserve">http://www.huffingtonpost.com/marc-f-bernstein/declining-educational-att_b_3568548.html</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pPr>
        <w:contextualSpacing w:val="0"/>
      </w:pPr>
      <w:r w:rsidDel="00000000" w:rsidR="00000000" w:rsidRPr="00000000">
        <w:rPr>
          <w:rFonts w:ascii="Times New Roman" w:cs="Times New Roman" w:eastAsia="Times New Roman" w:hAnsi="Times New Roman"/>
          <w:sz w:val="24"/>
          <w:szCs w:val="24"/>
          <w:rtl w:val="0"/>
        </w:rPr>
        <w:t xml:space="preserve">Bertram, G.W. (1966). </w:t>
      </w:r>
      <w:r w:rsidDel="00000000" w:rsidR="00000000" w:rsidRPr="00000000">
        <w:rPr>
          <w:rFonts w:ascii="Times New Roman" w:cs="Times New Roman" w:eastAsia="Times New Roman" w:hAnsi="Times New Roman"/>
          <w:i w:val="1"/>
          <w:sz w:val="24"/>
          <w:szCs w:val="24"/>
          <w:rtl w:val="0"/>
        </w:rPr>
        <w:t xml:space="preserve">The contribution of education to economic growth</w:t>
      </w:r>
      <w:r w:rsidDel="00000000" w:rsidR="00000000" w:rsidRPr="00000000">
        <w:rPr>
          <w:rFonts w:ascii="Times New Roman" w:cs="Times New Roman" w:eastAsia="Times New Roman" w:hAnsi="Times New Roman"/>
          <w:sz w:val="24"/>
          <w:szCs w:val="24"/>
          <w:rtl w:val="0"/>
        </w:rPr>
        <w:t xml:space="preserve">. Ottawa, ON: Economic Council of Canada.</w:t>
      </w:r>
    </w:p>
    <w:p w:rsidR="00000000" w:rsidDel="00000000" w:rsidP="00000000" w:rsidRDefault="00000000" w:rsidRPr="00000000">
      <w:pPr>
        <w:contextualSpacing w:val="0"/>
      </w:pPr>
      <w:r w:rsidDel="00000000" w:rsidR="00000000" w:rsidRPr="00000000">
        <w:rPr>
          <w:rFonts w:ascii="Times New Roman" w:cs="Times New Roman" w:eastAsia="Times New Roman" w:hAnsi="Times New Roman"/>
          <w:sz w:val="24"/>
          <w:szCs w:val="24"/>
          <w:rtl w:val="0"/>
        </w:rPr>
        <w:t xml:space="preserve">Bradley, M.J., Seidman, R.H., &amp; Painchaud, S.R. (2012). </w:t>
      </w:r>
      <w:r w:rsidDel="00000000" w:rsidR="00000000" w:rsidRPr="00000000">
        <w:rPr>
          <w:rFonts w:ascii="Times New Roman" w:cs="Times New Roman" w:eastAsia="Times New Roman" w:hAnsi="Times New Roman"/>
          <w:i w:val="1"/>
          <w:sz w:val="24"/>
          <w:szCs w:val="24"/>
          <w:rtl w:val="0"/>
        </w:rPr>
        <w:t xml:space="preserve">Saving higher education: The integrated, competency-based three-year bachelor’s degree</w:t>
      </w:r>
      <w:r w:rsidDel="00000000" w:rsidR="00000000" w:rsidRPr="00000000">
        <w:rPr>
          <w:rFonts w:ascii="Times New Roman" w:cs="Times New Roman" w:eastAsia="Times New Roman" w:hAnsi="Times New Roman"/>
          <w:sz w:val="24"/>
          <w:szCs w:val="24"/>
          <w:rtl w:val="0"/>
        </w:rPr>
        <w:t xml:space="preserve">. San Francisco, CA: Jossey-Bass.</w:t>
      </w:r>
    </w:p>
    <w:p w:rsidR="00000000" w:rsidDel="00000000" w:rsidP="00000000" w:rsidRDefault="00000000" w:rsidRPr="00000000">
      <w:pPr>
        <w:contextualSpacing w:val="0"/>
      </w:pPr>
      <w:r w:rsidDel="00000000" w:rsidR="00000000" w:rsidRPr="00000000">
        <w:rPr>
          <w:rFonts w:ascii="Times New Roman" w:cs="Times New Roman" w:eastAsia="Times New Roman" w:hAnsi="Times New Roman"/>
          <w:sz w:val="24"/>
          <w:szCs w:val="24"/>
          <w:rtl w:val="0"/>
        </w:rPr>
        <w:t xml:space="preserve">Burning Glass Technologies. (2014). </w:t>
      </w:r>
      <w:r w:rsidDel="00000000" w:rsidR="00000000" w:rsidRPr="00000000">
        <w:rPr>
          <w:rFonts w:ascii="Times New Roman" w:cs="Times New Roman" w:eastAsia="Times New Roman" w:hAnsi="Times New Roman"/>
          <w:i w:val="1"/>
          <w:sz w:val="24"/>
          <w:szCs w:val="24"/>
          <w:rtl w:val="0"/>
        </w:rPr>
        <w:t xml:space="preserve">Moving the goalposts: How demand for a bachelor’s degree is reshaping the American workforce</w:t>
      </w:r>
      <w:r w:rsidDel="00000000" w:rsidR="00000000" w:rsidRPr="00000000">
        <w:rPr>
          <w:rFonts w:ascii="Times New Roman" w:cs="Times New Roman" w:eastAsia="Times New Roman" w:hAnsi="Times New Roman"/>
          <w:sz w:val="24"/>
          <w:szCs w:val="24"/>
          <w:rtl w:val="0"/>
        </w:rPr>
        <w:t xml:space="preserve">. Boston: Author. Retrieved from </w:t>
      </w:r>
      <w:hyperlink r:id="rId9">
        <w:r w:rsidDel="00000000" w:rsidR="00000000" w:rsidRPr="00000000">
          <w:rPr>
            <w:rFonts w:ascii="Times New Roman" w:cs="Times New Roman" w:eastAsia="Times New Roman" w:hAnsi="Times New Roman"/>
            <w:color w:val="0000ff"/>
            <w:sz w:val="24"/>
            <w:szCs w:val="24"/>
            <w:u w:val="single"/>
            <w:rtl w:val="0"/>
          </w:rPr>
          <w:t xml:space="preserve">http://burning-glass.com/wp-content/uploads/Moving_the_Goalposts.pdf</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pPr>
        <w:contextualSpacing w:val="0"/>
      </w:pPr>
      <w:r w:rsidDel="00000000" w:rsidR="00000000" w:rsidRPr="00000000">
        <w:rPr>
          <w:rFonts w:ascii="Times New Roman" w:cs="Times New Roman" w:eastAsia="Times New Roman" w:hAnsi="Times New Roman"/>
          <w:sz w:val="24"/>
          <w:szCs w:val="24"/>
          <w:rtl w:val="0"/>
        </w:rPr>
        <w:t xml:space="preserve">Capelli, P. (2015).</w:t>
      </w:r>
      <w:r w:rsidDel="00000000" w:rsidR="00000000" w:rsidRPr="00000000">
        <w:rPr>
          <w:rFonts w:ascii="Times New Roman" w:cs="Times New Roman" w:eastAsia="Times New Roman" w:hAnsi="Times New Roman"/>
          <w:i w:val="1"/>
          <w:sz w:val="24"/>
          <w:szCs w:val="24"/>
          <w:rtl w:val="0"/>
        </w:rPr>
        <w:t xml:space="preserve"> Will college pay off: A guide to the most important financial decision you’ll ever make</w:t>
      </w:r>
      <w:r w:rsidDel="00000000" w:rsidR="00000000" w:rsidRPr="00000000">
        <w:rPr>
          <w:rFonts w:ascii="Times New Roman" w:cs="Times New Roman" w:eastAsia="Times New Roman" w:hAnsi="Times New Roman"/>
          <w:sz w:val="24"/>
          <w:szCs w:val="24"/>
          <w:rtl w:val="0"/>
        </w:rPr>
        <w:t xml:space="preserve">. New York, NY: Public Affairs.</w:t>
      </w:r>
    </w:p>
    <w:p w:rsidR="00000000" w:rsidDel="00000000" w:rsidP="00000000" w:rsidRDefault="00000000" w:rsidRPr="00000000">
      <w:pPr>
        <w:contextualSpacing w:val="0"/>
      </w:pPr>
      <w:r w:rsidDel="00000000" w:rsidR="00000000" w:rsidRPr="00000000">
        <w:rPr>
          <w:rFonts w:ascii="Times New Roman" w:cs="Times New Roman" w:eastAsia="Times New Roman" w:hAnsi="Times New Roman"/>
          <w:sz w:val="24"/>
          <w:szCs w:val="24"/>
          <w:rtl w:val="0"/>
        </w:rPr>
        <w:t xml:space="preserve">Carnevale, A.P., Rose, S.J., &amp; Hanson, A.R. (2012). </w:t>
      </w:r>
      <w:r w:rsidDel="00000000" w:rsidR="00000000" w:rsidRPr="00000000">
        <w:rPr>
          <w:rFonts w:ascii="Times New Roman" w:cs="Times New Roman" w:eastAsia="Times New Roman" w:hAnsi="Times New Roman"/>
          <w:i w:val="1"/>
          <w:sz w:val="24"/>
          <w:szCs w:val="24"/>
          <w:rtl w:val="0"/>
        </w:rPr>
        <w:t xml:space="preserve">Certificates : Gateway to gainful employment and college degrees</w:t>
      </w:r>
      <w:r w:rsidDel="00000000" w:rsidR="00000000" w:rsidRPr="00000000">
        <w:rPr>
          <w:rFonts w:ascii="Times New Roman" w:cs="Times New Roman" w:eastAsia="Times New Roman" w:hAnsi="Times New Roman"/>
          <w:sz w:val="24"/>
          <w:szCs w:val="24"/>
          <w:rtl w:val="0"/>
        </w:rPr>
        <w:t xml:space="preserve">. Washington, DC: Georgetown University Center on Education and the Workforce.</w:t>
      </w:r>
    </w:p>
    <w:p w:rsidR="00000000" w:rsidDel="00000000" w:rsidP="00000000" w:rsidRDefault="00000000" w:rsidRPr="00000000">
      <w:pPr>
        <w:contextualSpacing w:val="0"/>
      </w:pPr>
      <w:r w:rsidDel="00000000" w:rsidR="00000000" w:rsidRPr="00000000">
        <w:rPr>
          <w:rFonts w:ascii="Times New Roman" w:cs="Times New Roman" w:eastAsia="Times New Roman" w:hAnsi="Times New Roman"/>
          <w:sz w:val="24"/>
          <w:szCs w:val="24"/>
          <w:rtl w:val="0"/>
        </w:rPr>
        <w:t xml:space="preserve">Carnevale, A.P., Smith, N., &amp; Strohl, J. (2010). </w:t>
      </w:r>
      <w:r w:rsidDel="00000000" w:rsidR="00000000" w:rsidRPr="00000000">
        <w:rPr>
          <w:rFonts w:ascii="Times New Roman" w:cs="Times New Roman" w:eastAsia="Times New Roman" w:hAnsi="Times New Roman"/>
          <w:i w:val="1"/>
          <w:sz w:val="24"/>
          <w:szCs w:val="24"/>
          <w:rtl w:val="0"/>
        </w:rPr>
        <w:t xml:space="preserve">Help wanted: Projections of jobs and educational requirements through 2018</w:t>
      </w:r>
      <w:r w:rsidDel="00000000" w:rsidR="00000000" w:rsidRPr="00000000">
        <w:rPr>
          <w:rFonts w:ascii="Times New Roman" w:cs="Times New Roman" w:eastAsia="Times New Roman" w:hAnsi="Times New Roman"/>
          <w:sz w:val="24"/>
          <w:szCs w:val="24"/>
          <w:rtl w:val="0"/>
        </w:rPr>
        <w:t xml:space="preserve">. Washington, DC: Georgetown University Center on Education and the Workforce.</w:t>
      </w:r>
    </w:p>
    <w:p w:rsidR="00000000" w:rsidDel="00000000" w:rsidP="00000000" w:rsidRDefault="00000000" w:rsidRPr="00000000">
      <w:pPr>
        <w:contextualSpacing w:val="0"/>
      </w:pPr>
      <w:r w:rsidDel="00000000" w:rsidR="00000000" w:rsidRPr="00000000">
        <w:rPr>
          <w:rFonts w:ascii="Times New Roman" w:cs="Times New Roman" w:eastAsia="Times New Roman" w:hAnsi="Times New Roman"/>
          <w:sz w:val="24"/>
          <w:szCs w:val="24"/>
          <w:rtl w:val="0"/>
        </w:rPr>
        <w:t xml:space="preserve">Centre for the Study of Living Standards. (2015, May 20). Aggregate income and productivity trends: Canada vs. the U.S. Ottawa, ON: Author. Retrieved from </w:t>
      </w:r>
      <w:hyperlink r:id="rId10">
        <w:r w:rsidDel="00000000" w:rsidR="00000000" w:rsidRPr="00000000">
          <w:rPr>
            <w:rFonts w:ascii="Times New Roman" w:cs="Times New Roman" w:eastAsia="Times New Roman" w:hAnsi="Times New Roman"/>
            <w:color w:val="0000ff"/>
            <w:sz w:val="24"/>
            <w:szCs w:val="24"/>
            <w:u w:val="single"/>
            <w:rtl w:val="0"/>
          </w:rPr>
          <w:t xml:space="preserve">http://www.csls.ca/data/ipt1.asp</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pPr>
        <w:contextualSpacing w:val="0"/>
      </w:pPr>
      <w:r w:rsidDel="00000000" w:rsidR="00000000" w:rsidRPr="00000000">
        <w:rPr>
          <w:rFonts w:ascii="Times New Roman" w:cs="Times New Roman" w:eastAsia="Times New Roman" w:hAnsi="Times New Roman"/>
          <w:color w:val="0000ff"/>
          <w:sz w:val="24"/>
          <w:szCs w:val="24"/>
          <w:u w:val="none"/>
          <w:rtl w:val="0"/>
        </w:rPr>
        <w:t xml:space="preserve">Chase, M. (2011). Benchmarking equity in transfer policies for career and technical associate’s degrees. </w:t>
      </w:r>
      <w:r w:rsidDel="00000000" w:rsidR="00000000" w:rsidRPr="00000000">
        <w:rPr>
          <w:rFonts w:ascii="Times New Roman" w:cs="Times New Roman" w:eastAsia="Times New Roman" w:hAnsi="Times New Roman"/>
          <w:i w:val="1"/>
          <w:color w:val="0000ff"/>
          <w:sz w:val="24"/>
          <w:szCs w:val="24"/>
          <w:u w:val="none"/>
          <w:rtl w:val="0"/>
        </w:rPr>
        <w:t xml:space="preserve">Community College Review</w:t>
      </w:r>
      <w:r w:rsidDel="00000000" w:rsidR="00000000" w:rsidRPr="00000000">
        <w:rPr>
          <w:rFonts w:ascii="Times New Roman" w:cs="Times New Roman" w:eastAsia="Times New Roman" w:hAnsi="Times New Roman"/>
          <w:color w:val="0000ff"/>
          <w:sz w:val="24"/>
          <w:szCs w:val="24"/>
          <w:u w:val="none"/>
          <w:rtl w:val="0"/>
        </w:rPr>
        <w:t xml:space="preserve">. </w:t>
      </w:r>
      <w:r w:rsidDel="00000000" w:rsidR="00000000" w:rsidRPr="00000000">
        <w:rPr>
          <w:rFonts w:ascii="Times New Roman" w:cs="Times New Roman" w:eastAsia="Times New Roman" w:hAnsi="Times New Roman"/>
          <w:i w:val="1"/>
          <w:color w:val="0000ff"/>
          <w:sz w:val="24"/>
          <w:szCs w:val="24"/>
          <w:u w:val="none"/>
          <w:rtl w:val="0"/>
        </w:rPr>
        <w:t xml:space="preserve">39</w:t>
      </w:r>
      <w:r w:rsidDel="00000000" w:rsidR="00000000" w:rsidRPr="00000000">
        <w:rPr>
          <w:rFonts w:ascii="Times New Roman" w:cs="Times New Roman" w:eastAsia="Times New Roman" w:hAnsi="Times New Roman"/>
          <w:color w:val="0000ff"/>
          <w:sz w:val="24"/>
          <w:szCs w:val="24"/>
          <w:u w:val="none"/>
          <w:rtl w:val="0"/>
        </w:rPr>
        <w:t xml:space="preserve">(4), 376-404.</w:t>
      </w:r>
    </w:p>
    <w:p w:rsidR="00000000" w:rsidDel="00000000" w:rsidP="00000000" w:rsidRDefault="00000000" w:rsidRPr="00000000">
      <w:pPr>
        <w:contextualSpacing w:val="0"/>
      </w:pPr>
      <w:r w:rsidDel="00000000" w:rsidR="00000000" w:rsidRPr="00000000">
        <w:rPr>
          <w:rFonts w:ascii="Times New Roman" w:cs="Times New Roman" w:eastAsia="Times New Roman" w:hAnsi="Times New Roman"/>
          <w:sz w:val="24"/>
          <w:szCs w:val="24"/>
          <w:rtl w:val="0"/>
        </w:rPr>
        <w:t xml:space="preserve">Cohen, A.M., Brawer, F.B., &amp; Kisker, C.B. (2014). </w:t>
      </w:r>
      <w:r w:rsidDel="00000000" w:rsidR="00000000" w:rsidRPr="00000000">
        <w:rPr>
          <w:rFonts w:ascii="Times New Roman" w:cs="Times New Roman" w:eastAsia="Times New Roman" w:hAnsi="Times New Roman"/>
          <w:i w:val="1"/>
          <w:sz w:val="24"/>
          <w:szCs w:val="24"/>
          <w:rtl w:val="0"/>
        </w:rPr>
        <w:t xml:space="preserve">The American community college </w:t>
      </w:r>
      <w:r w:rsidDel="00000000" w:rsidR="00000000" w:rsidRPr="00000000">
        <w:rPr>
          <w:rFonts w:ascii="Times New Roman" w:cs="Times New Roman" w:eastAsia="Times New Roman" w:hAnsi="Times New Roman"/>
          <w:sz w:val="24"/>
          <w:szCs w:val="24"/>
          <w:rtl w:val="0"/>
        </w:rPr>
        <w:t xml:space="preserve">(6th ed.). San Francisco, CA: Jossey-Bass. </w:t>
      </w:r>
    </w:p>
    <w:p w:rsidR="00000000" w:rsidDel="00000000" w:rsidP="00000000" w:rsidRDefault="00000000" w:rsidRPr="00000000">
      <w:pPr>
        <w:contextualSpacing w:val="0"/>
      </w:pPr>
      <w:r w:rsidDel="00000000" w:rsidR="00000000" w:rsidRPr="00000000">
        <w:rPr>
          <w:rFonts w:ascii="Times New Roman" w:cs="Times New Roman" w:eastAsia="Times New Roman" w:hAnsi="Times New Roman"/>
          <w:color w:val="0000ff"/>
          <w:sz w:val="24"/>
          <w:szCs w:val="24"/>
          <w:u w:val="none"/>
          <w:rtl w:val="0"/>
        </w:rPr>
        <w:t xml:space="preserve">College Board. (2008). </w:t>
      </w:r>
      <w:r w:rsidDel="00000000" w:rsidR="00000000" w:rsidRPr="00000000">
        <w:rPr>
          <w:rFonts w:ascii="Times New Roman" w:cs="Times New Roman" w:eastAsia="Times New Roman" w:hAnsi="Times New Roman"/>
          <w:i w:val="1"/>
          <w:color w:val="0000ff"/>
          <w:sz w:val="24"/>
          <w:szCs w:val="24"/>
          <w:u w:val="none"/>
          <w:rtl w:val="0"/>
        </w:rPr>
        <w:t xml:space="preserve">Coming to our senses: Education and the American future</w:t>
      </w:r>
      <w:r w:rsidDel="00000000" w:rsidR="00000000" w:rsidRPr="00000000">
        <w:rPr>
          <w:rFonts w:ascii="Times New Roman" w:cs="Times New Roman" w:eastAsia="Times New Roman" w:hAnsi="Times New Roman"/>
          <w:color w:val="0000ff"/>
          <w:sz w:val="24"/>
          <w:szCs w:val="24"/>
          <w:u w:val="none"/>
          <w:rtl w:val="0"/>
        </w:rPr>
        <w:t xml:space="preserve">. New York, NY: Author.</w:t>
      </w:r>
    </w:p>
    <w:p w:rsidR="00000000" w:rsidDel="00000000" w:rsidP="00000000" w:rsidRDefault="00000000" w:rsidRPr="00000000">
      <w:pPr>
        <w:contextualSpacing w:val="0"/>
      </w:pPr>
      <w:r w:rsidDel="00000000" w:rsidR="00000000" w:rsidRPr="00000000">
        <w:rPr>
          <w:rFonts w:ascii="Times New Roman" w:cs="Times New Roman" w:eastAsia="Times New Roman" w:hAnsi="Times New Roman"/>
          <w:sz w:val="24"/>
          <w:szCs w:val="24"/>
          <w:rtl w:val="0"/>
        </w:rPr>
        <w:t xml:space="preserve">Community College Research Center. (2015). </w:t>
      </w:r>
      <w:r w:rsidDel="00000000" w:rsidR="00000000" w:rsidRPr="00000000">
        <w:rPr>
          <w:rFonts w:ascii="Times New Roman" w:cs="Times New Roman" w:eastAsia="Times New Roman" w:hAnsi="Times New Roman"/>
          <w:i w:val="1"/>
          <w:sz w:val="24"/>
          <w:szCs w:val="24"/>
          <w:rtl w:val="0"/>
        </w:rPr>
        <w:t xml:space="preserve">What we know about transfer</w:t>
      </w:r>
      <w:r w:rsidDel="00000000" w:rsidR="00000000" w:rsidRPr="00000000">
        <w:rPr>
          <w:rFonts w:ascii="Times New Roman" w:cs="Times New Roman" w:eastAsia="Times New Roman" w:hAnsi="Times New Roman"/>
          <w:sz w:val="24"/>
          <w:szCs w:val="24"/>
          <w:rtl w:val="0"/>
        </w:rPr>
        <w:t xml:space="preserve">. New York, NY: Teacher’s College, Columbia University. Retrieved from </w:t>
      </w:r>
      <w:hyperlink r:id="rId11">
        <w:r w:rsidDel="00000000" w:rsidR="00000000" w:rsidRPr="00000000">
          <w:rPr>
            <w:rFonts w:ascii="Times New Roman" w:cs="Times New Roman" w:eastAsia="Times New Roman" w:hAnsi="Times New Roman"/>
            <w:color w:val="0000ff"/>
            <w:sz w:val="24"/>
            <w:szCs w:val="24"/>
            <w:u w:val="single"/>
            <w:rtl w:val="0"/>
          </w:rPr>
          <w:t xml:space="preserve">http://ccrc.tc.columbia.edu/media/k2/attachments/what-we-know-about-transfer.pdf</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pPr>
        <w:contextualSpacing w:val="0"/>
      </w:pPr>
      <w:r w:rsidDel="00000000" w:rsidR="00000000" w:rsidRPr="00000000">
        <w:rPr>
          <w:rFonts w:ascii="Times New Roman" w:cs="Times New Roman" w:eastAsia="Times New Roman" w:hAnsi="Times New Roman"/>
          <w:sz w:val="24"/>
          <w:szCs w:val="24"/>
          <w:rtl w:val="0"/>
        </w:rPr>
        <w:t xml:space="preserve">Cunningham, A. (2015). Florida college system: Baccalaureate degree programs. Tallahassee: Florida Department of Education. Retrieved from </w:t>
      </w:r>
      <w:hyperlink r:id="rId12">
        <w:r w:rsidDel="00000000" w:rsidR="00000000" w:rsidRPr="00000000">
          <w:rPr>
            <w:rFonts w:ascii="Times New Roman" w:cs="Times New Roman" w:eastAsia="Times New Roman" w:hAnsi="Times New Roman"/>
            <w:color w:val="0000ff"/>
            <w:sz w:val="24"/>
            <w:szCs w:val="24"/>
            <w:u w:val="single"/>
            <w:rtl w:val="0"/>
          </w:rPr>
          <w:t xml:space="preserve">http://www.accbd.org/wp-content/uploads/2010/08/Florida-College-System-Baccalaureate-Degree-Programs-by-Abbey-Cunningham.pdf</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pPr>
        <w:contextualSpacing w:val="0"/>
      </w:pPr>
      <w:r w:rsidDel="00000000" w:rsidR="00000000" w:rsidRPr="00000000">
        <w:rPr>
          <w:rFonts w:ascii="Times New Roman" w:cs="Times New Roman" w:eastAsia="Times New Roman" w:hAnsi="Times New Roman"/>
          <w:sz w:val="24"/>
          <w:szCs w:val="24"/>
          <w:rtl w:val="0"/>
        </w:rPr>
        <w:t xml:space="preserve">Fazekas, M. and Litjens, I. (2014). </w:t>
      </w:r>
      <w:r w:rsidDel="00000000" w:rsidR="00000000" w:rsidRPr="00000000">
        <w:rPr>
          <w:rFonts w:ascii="Times New Roman" w:cs="Times New Roman" w:eastAsia="Times New Roman" w:hAnsi="Times New Roman"/>
          <w:i w:val="1"/>
          <w:sz w:val="24"/>
          <w:szCs w:val="24"/>
          <w:rtl w:val="0"/>
        </w:rPr>
        <w:t xml:space="preserve">A skills beyond school review of the Netherlands</w:t>
      </w:r>
      <w:r w:rsidDel="00000000" w:rsidR="00000000" w:rsidRPr="00000000">
        <w:rPr>
          <w:rFonts w:ascii="Times New Roman" w:cs="Times New Roman" w:eastAsia="Times New Roman" w:hAnsi="Times New Roman"/>
          <w:sz w:val="24"/>
          <w:szCs w:val="24"/>
          <w:rtl w:val="0"/>
        </w:rPr>
        <w:t xml:space="preserve">, OECD reviews of vocational education and training. Paris: OECD Publishing.</w:t>
      </w:r>
    </w:p>
    <w:p w:rsidR="00000000" w:rsidDel="00000000" w:rsidP="00000000" w:rsidRDefault="00000000" w:rsidRPr="00000000">
      <w:pPr>
        <w:contextualSpacing w:val="0"/>
      </w:pPr>
      <w:r w:rsidDel="00000000" w:rsidR="00000000" w:rsidRPr="00000000">
        <w:rPr>
          <w:rFonts w:ascii="Times New Roman" w:cs="Times New Roman" w:eastAsia="Times New Roman" w:hAnsi="Times New Roman"/>
          <w:sz w:val="24"/>
          <w:szCs w:val="24"/>
          <w:rtl w:val="0"/>
        </w:rPr>
        <w:t xml:space="preserve">Fleming, R. &amp; Lee, G.R. (2009). Canada: What’s in a title? In N. Garrod &amp; B. Macfarlane (Eds.), </w:t>
      </w:r>
      <w:r w:rsidDel="00000000" w:rsidR="00000000" w:rsidRPr="00000000">
        <w:rPr>
          <w:rFonts w:ascii="Times New Roman" w:cs="Times New Roman" w:eastAsia="Times New Roman" w:hAnsi="Times New Roman"/>
          <w:i w:val="1"/>
          <w:sz w:val="24"/>
          <w:szCs w:val="24"/>
          <w:rtl w:val="0"/>
        </w:rPr>
        <w:t xml:space="preserve">Challenging boundaries: Managing the integration of postsecondary education</w:t>
      </w:r>
      <w:r w:rsidDel="00000000" w:rsidR="00000000" w:rsidRPr="00000000">
        <w:rPr>
          <w:rFonts w:ascii="Times New Roman" w:cs="Times New Roman" w:eastAsia="Times New Roman" w:hAnsi="Times New Roman"/>
          <w:sz w:val="24"/>
          <w:szCs w:val="24"/>
          <w:rtl w:val="0"/>
        </w:rPr>
        <w:t xml:space="preserve"> (pp. 93-110). New York, NY: Routledge.</w:t>
      </w:r>
    </w:p>
    <w:p w:rsidR="00000000" w:rsidDel="00000000" w:rsidP="00000000" w:rsidRDefault="00000000" w:rsidRPr="00000000">
      <w:pPr>
        <w:contextualSpacing w:val="0"/>
      </w:pPr>
      <w:r w:rsidDel="00000000" w:rsidR="00000000" w:rsidRPr="00000000">
        <w:rPr>
          <w:rFonts w:ascii="Times New Roman" w:cs="Times New Roman" w:eastAsia="Times New Roman" w:hAnsi="Times New Roman"/>
          <w:sz w:val="24"/>
          <w:szCs w:val="24"/>
          <w:rtl w:val="0"/>
        </w:rPr>
        <w:t xml:space="preserve">Floyd, D.L. &amp; Falconetti, A.M.G. (2013). The baccalaureate movement in Florida: A decade of change. In N. Remington &amp; R. Remington (Eds.), </w:t>
      </w:r>
      <w:r w:rsidDel="00000000" w:rsidR="00000000" w:rsidRPr="00000000">
        <w:rPr>
          <w:rFonts w:ascii="Times New Roman" w:cs="Times New Roman" w:eastAsia="Times New Roman" w:hAnsi="Times New Roman"/>
          <w:i w:val="1"/>
          <w:sz w:val="24"/>
          <w:szCs w:val="24"/>
          <w:rtl w:val="0"/>
        </w:rPr>
        <w:t xml:space="preserve">Alternative pathways to the baccalaureate</w:t>
      </w:r>
      <w:r w:rsidDel="00000000" w:rsidR="00000000" w:rsidRPr="00000000">
        <w:rPr>
          <w:rFonts w:ascii="Times New Roman" w:cs="Times New Roman" w:eastAsia="Times New Roman" w:hAnsi="Times New Roman"/>
          <w:sz w:val="24"/>
          <w:szCs w:val="24"/>
          <w:rtl w:val="0"/>
        </w:rPr>
        <w:t xml:space="preserve"> (pp. 85-107). Sterling, VA: Stylus Publishing, LLC.</w:t>
      </w:r>
    </w:p>
    <w:p w:rsidR="00000000" w:rsidDel="00000000" w:rsidP="00000000" w:rsidRDefault="00000000" w:rsidRPr="00000000">
      <w:pPr>
        <w:contextualSpacing w:val="0"/>
      </w:pPr>
      <w:r w:rsidDel="00000000" w:rsidR="00000000" w:rsidRPr="00000000">
        <w:rPr>
          <w:rFonts w:ascii="Times New Roman" w:cs="Times New Roman" w:eastAsia="Times New Roman" w:hAnsi="Times New Roman"/>
          <w:sz w:val="24"/>
          <w:szCs w:val="24"/>
          <w:rtl w:val="0"/>
        </w:rPr>
        <w:t xml:space="preserve">Floyd, D.L., Skolnik, M.L., &amp; Walker, K.P. (Eds.). (2005). </w:t>
      </w:r>
      <w:r w:rsidDel="00000000" w:rsidR="00000000" w:rsidRPr="00000000">
        <w:rPr>
          <w:rFonts w:ascii="Times New Roman" w:cs="Times New Roman" w:eastAsia="Times New Roman" w:hAnsi="Times New Roman"/>
          <w:i w:val="1"/>
          <w:sz w:val="24"/>
          <w:szCs w:val="24"/>
          <w:rtl w:val="0"/>
        </w:rPr>
        <w:t xml:space="preserve">The Community college baccalaureate: Emerging trends and policy issues</w:t>
      </w:r>
      <w:r w:rsidDel="00000000" w:rsidR="00000000" w:rsidRPr="00000000">
        <w:rPr>
          <w:rFonts w:ascii="Times New Roman" w:cs="Times New Roman" w:eastAsia="Times New Roman" w:hAnsi="Times New Roman"/>
          <w:sz w:val="24"/>
          <w:szCs w:val="24"/>
          <w:rtl w:val="0"/>
        </w:rPr>
        <w:t xml:space="preserve">. Sterling (VA): Stylus Publishing, LLC.</w:t>
      </w:r>
    </w:p>
    <w:p w:rsidR="00000000" w:rsidDel="00000000" w:rsidP="00000000" w:rsidRDefault="00000000" w:rsidRPr="00000000">
      <w:pPr>
        <w:contextualSpacing w:val="0"/>
      </w:pPr>
      <w:r w:rsidDel="00000000" w:rsidR="00000000" w:rsidRPr="00000000">
        <w:rPr>
          <w:rFonts w:ascii="Times New Roman" w:cs="Times New Roman" w:eastAsia="Times New Roman" w:hAnsi="Times New Roman"/>
          <w:sz w:val="24"/>
          <w:szCs w:val="24"/>
          <w:rtl w:val="0"/>
        </w:rPr>
        <w:t xml:space="preserve">Fry, R. &amp; Parker, K. (2012). </w:t>
      </w:r>
      <w:r w:rsidDel="00000000" w:rsidR="00000000" w:rsidRPr="00000000">
        <w:rPr>
          <w:rFonts w:ascii="Times New Roman" w:cs="Times New Roman" w:eastAsia="Times New Roman" w:hAnsi="Times New Roman"/>
          <w:i w:val="1"/>
          <w:sz w:val="24"/>
          <w:szCs w:val="24"/>
          <w:rtl w:val="0"/>
        </w:rPr>
        <w:t xml:space="preserve">Record shares of young adults have finished both high school and college</w:t>
      </w:r>
      <w:r w:rsidDel="00000000" w:rsidR="00000000" w:rsidRPr="00000000">
        <w:rPr>
          <w:rFonts w:ascii="Times New Roman" w:cs="Times New Roman" w:eastAsia="Times New Roman" w:hAnsi="Times New Roman"/>
          <w:sz w:val="24"/>
          <w:szCs w:val="24"/>
          <w:rtl w:val="0"/>
        </w:rPr>
        <w:t xml:space="preserve">. Washington, DC: Pew Research Center on Social and Demographic Trends. Retrieved from </w:t>
      </w:r>
      <w:hyperlink r:id="rId13">
        <w:r w:rsidDel="00000000" w:rsidR="00000000" w:rsidRPr="00000000">
          <w:rPr>
            <w:rFonts w:ascii="Times New Roman" w:cs="Times New Roman" w:eastAsia="Times New Roman" w:hAnsi="Times New Roman"/>
            <w:color w:val="0000ff"/>
            <w:sz w:val="24"/>
            <w:szCs w:val="24"/>
            <w:u w:val="single"/>
            <w:rtl w:val="0"/>
          </w:rPr>
          <w:t xml:space="preserve">http://www.pewsocialtrends.org/2012/11/05/record-shares-of-young-adults-have-finished-both-high-school-and-college/</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pPr>
        <w:contextualSpacing w:val="0"/>
      </w:pPr>
      <w:r w:rsidDel="00000000" w:rsidR="00000000" w:rsidRPr="00000000">
        <w:rPr>
          <w:rFonts w:ascii="Times New Roman" w:cs="Times New Roman" w:eastAsia="Times New Roman" w:hAnsi="Times New Roman"/>
          <w:sz w:val="24"/>
          <w:szCs w:val="24"/>
          <w:rtl w:val="0"/>
        </w:rPr>
        <w:t xml:space="preserve">Furlong, T.E. (2005). St. Petersburg College: Increasing access in critical areas. In D. L. Floyd, M. L. Skolnik, &amp; K. P. Walker (Eds.), </w:t>
      </w:r>
      <w:r w:rsidDel="00000000" w:rsidR="00000000" w:rsidRPr="00000000">
        <w:rPr>
          <w:rFonts w:ascii="Times New Roman" w:cs="Times New Roman" w:eastAsia="Times New Roman" w:hAnsi="Times New Roman"/>
          <w:i w:val="1"/>
          <w:sz w:val="24"/>
          <w:szCs w:val="24"/>
          <w:rtl w:val="0"/>
        </w:rPr>
        <w:t xml:space="preserve">The community college baccalaureate: Emerging trends and policy </w:t>
      </w:r>
      <w:r w:rsidDel="00000000" w:rsidR="00000000" w:rsidRPr="00000000">
        <w:rPr>
          <w:rFonts w:ascii="Times New Roman" w:cs="Times New Roman" w:eastAsia="Times New Roman" w:hAnsi="Times New Roman"/>
          <w:sz w:val="24"/>
          <w:szCs w:val="24"/>
          <w:rtl w:val="0"/>
        </w:rPr>
        <w:t xml:space="preserve">issues (pp. 103-128). Sterling, VA: Stylus Publishing, LLC.</w:t>
      </w:r>
    </w:p>
    <w:p w:rsidR="00000000" w:rsidDel="00000000" w:rsidP="00000000" w:rsidRDefault="00000000" w:rsidRPr="00000000">
      <w:pPr>
        <w:contextualSpacing w:val="0"/>
      </w:pPr>
      <w:r w:rsidDel="00000000" w:rsidR="00000000" w:rsidRPr="00000000">
        <w:rPr>
          <w:rFonts w:ascii="Times New Roman" w:cs="Times New Roman" w:eastAsia="Times New Roman" w:hAnsi="Times New Roman"/>
          <w:sz w:val="24"/>
          <w:szCs w:val="24"/>
          <w:rtl w:val="0"/>
        </w:rPr>
        <w:t xml:space="preserve">Gentile, S. (2010). U.S. lags behind rivals in college degrees, especially in the south. Need to Know on PBS. Retrieved from </w:t>
      </w:r>
      <w:hyperlink r:id="rId14">
        <w:r w:rsidDel="00000000" w:rsidR="00000000" w:rsidRPr="00000000">
          <w:rPr>
            <w:rFonts w:ascii="Times New Roman" w:cs="Times New Roman" w:eastAsia="Times New Roman" w:hAnsi="Times New Roman"/>
            <w:color w:val="0000ff"/>
            <w:sz w:val="24"/>
            <w:szCs w:val="24"/>
            <w:u w:val="single"/>
            <w:rtl w:val="0"/>
          </w:rPr>
          <w:t xml:space="preserve">http://www.pbs.org/wnet/need-to-know/economy/u-s-lags-behind-its-rivals-in-college-degrees-especially-in-south/2765/</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pPr>
        <w:contextualSpacing w:val="0"/>
      </w:pPr>
      <w:r w:rsidDel="00000000" w:rsidR="00000000" w:rsidRPr="00000000">
        <w:rPr>
          <w:rFonts w:ascii="Times New Roman" w:cs="Times New Roman" w:eastAsia="Times New Roman" w:hAnsi="Times New Roman"/>
          <w:sz w:val="24"/>
          <w:szCs w:val="24"/>
          <w:rtl w:val="0"/>
        </w:rPr>
        <w:t xml:space="preserve">Gordon, R.J. (2013, September 7). The great stagnation of American education. </w:t>
      </w:r>
      <w:r w:rsidDel="00000000" w:rsidR="00000000" w:rsidRPr="00000000">
        <w:rPr>
          <w:rFonts w:ascii="Times New Roman" w:cs="Times New Roman" w:eastAsia="Times New Roman" w:hAnsi="Times New Roman"/>
          <w:i w:val="1"/>
          <w:sz w:val="24"/>
          <w:szCs w:val="24"/>
          <w:rtl w:val="0"/>
        </w:rPr>
        <w:t xml:space="preserve">The New York Times</w:t>
      </w:r>
      <w:r w:rsidDel="00000000" w:rsidR="00000000" w:rsidRPr="00000000">
        <w:rPr>
          <w:rFonts w:ascii="Times New Roman" w:cs="Times New Roman" w:eastAsia="Times New Roman" w:hAnsi="Times New Roman"/>
          <w:sz w:val="24"/>
          <w:szCs w:val="24"/>
          <w:rtl w:val="0"/>
        </w:rPr>
        <w:t xml:space="preserve">. Retrieved from </w:t>
      </w:r>
      <w:hyperlink r:id="rId15">
        <w:r w:rsidDel="00000000" w:rsidR="00000000" w:rsidRPr="00000000">
          <w:rPr>
            <w:rFonts w:ascii="Times New Roman" w:cs="Times New Roman" w:eastAsia="Times New Roman" w:hAnsi="Times New Roman"/>
            <w:color w:val="0000ff"/>
            <w:sz w:val="24"/>
            <w:szCs w:val="24"/>
            <w:u w:val="single"/>
            <w:rtl w:val="0"/>
          </w:rPr>
          <w:t xml:space="preserve">http://opinionator.blogs.nytimes.com/2013/09/07/the-great-stagnation-of-american-education/?_php=true&amp;_type=blogs&amp;_r=0</w:t>
        </w:r>
      </w:hyperlink>
      <w:r w:rsidDel="00000000" w:rsidR="00000000" w:rsidRPr="00000000">
        <w:rPr>
          <w:rFonts w:ascii="Times New Roman" w:cs="Times New Roman" w:eastAsia="Times New Roman" w:hAnsi="Times New Roman"/>
          <w:color w:val="0000ff"/>
          <w:sz w:val="24"/>
          <w:szCs w:val="24"/>
          <w:u w:val="single"/>
          <w:rtl w:val="0"/>
        </w:rPr>
        <w:t xml:space="preserve">. Accessed 26 August 2014.</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pPr>
        <w:contextualSpacing w:val="0"/>
      </w:pPr>
      <w:r w:rsidDel="00000000" w:rsidR="00000000" w:rsidRPr="00000000">
        <w:rPr>
          <w:rFonts w:ascii="Times New Roman" w:cs="Times New Roman" w:eastAsia="Times New Roman" w:hAnsi="Times New Roman"/>
          <w:sz w:val="24"/>
          <w:szCs w:val="24"/>
          <w:rtl w:val="0"/>
        </w:rPr>
        <w:t xml:space="preserve">Grubb, N. (1991). The decline of community college transfer rates: Evidence from national longitudinal surveys. </w:t>
      </w:r>
      <w:r w:rsidDel="00000000" w:rsidR="00000000" w:rsidRPr="00000000">
        <w:rPr>
          <w:rFonts w:ascii="Times New Roman" w:cs="Times New Roman" w:eastAsia="Times New Roman" w:hAnsi="Times New Roman"/>
          <w:i w:val="1"/>
          <w:sz w:val="24"/>
          <w:szCs w:val="24"/>
          <w:rtl w:val="0"/>
        </w:rPr>
        <w:t xml:space="preserve">Journal of Higher Education</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62</w:t>
      </w:r>
      <w:r w:rsidDel="00000000" w:rsidR="00000000" w:rsidRPr="00000000">
        <w:rPr>
          <w:rFonts w:ascii="Times New Roman" w:cs="Times New Roman" w:eastAsia="Times New Roman" w:hAnsi="Times New Roman"/>
          <w:sz w:val="24"/>
          <w:szCs w:val="24"/>
          <w:rtl w:val="0"/>
        </w:rPr>
        <w:t xml:space="preserve">(2), 194-222.</w:t>
      </w:r>
    </w:p>
    <w:p w:rsidR="00000000" w:rsidDel="00000000" w:rsidP="00000000" w:rsidRDefault="00000000" w:rsidRPr="00000000">
      <w:pPr>
        <w:contextualSpacing w:val="0"/>
      </w:pPr>
      <w:r w:rsidDel="00000000" w:rsidR="00000000" w:rsidRPr="00000000">
        <w:rPr>
          <w:rFonts w:ascii="Times New Roman" w:cs="Times New Roman" w:eastAsia="Times New Roman" w:hAnsi="Times New Roman"/>
          <w:sz w:val="24"/>
          <w:szCs w:val="24"/>
          <w:rtl w:val="0"/>
        </w:rPr>
        <w:t xml:space="preserve">Hackl, E. (2008). The role of the non-university sector in Austrian higher education. In J.S. Taylor, J.B. Ferreira, M.D.L. Machado, &amp; R. Santiago (Eds.),  </w:t>
      </w:r>
      <w:r w:rsidDel="00000000" w:rsidR="00000000" w:rsidRPr="00000000">
        <w:rPr>
          <w:rFonts w:ascii="Times New Roman" w:cs="Times New Roman" w:eastAsia="Times New Roman" w:hAnsi="Times New Roman"/>
          <w:i w:val="1"/>
          <w:sz w:val="24"/>
          <w:szCs w:val="24"/>
          <w:rtl w:val="0"/>
        </w:rPr>
        <w:t xml:space="preserve">Non-University higher education in Europe</w:t>
      </w:r>
      <w:r w:rsidDel="00000000" w:rsidR="00000000" w:rsidRPr="00000000">
        <w:rPr>
          <w:rFonts w:ascii="Times New Roman" w:cs="Times New Roman" w:eastAsia="Times New Roman" w:hAnsi="Times New Roman"/>
          <w:sz w:val="24"/>
          <w:szCs w:val="24"/>
          <w:rtl w:val="0"/>
        </w:rPr>
        <w:t xml:space="preserve"> (pp. 15-42). Dordrecht: Springer. </w:t>
      </w:r>
    </w:p>
    <w:p w:rsidR="00000000" w:rsidDel="00000000" w:rsidP="00000000" w:rsidRDefault="00000000" w:rsidRPr="00000000">
      <w:pPr>
        <w:contextualSpacing w:val="0"/>
      </w:pPr>
      <w:r w:rsidDel="00000000" w:rsidR="00000000" w:rsidRPr="00000000">
        <w:rPr>
          <w:rFonts w:ascii="Times New Roman" w:cs="Times New Roman" w:eastAsia="Times New Roman" w:hAnsi="Times New Roman"/>
          <w:sz w:val="24"/>
          <w:szCs w:val="24"/>
          <w:rtl w:val="0"/>
        </w:rPr>
        <w:t xml:space="preserve">Harrington, P.E. and Sum, A.M. (2010, November 8). College labor shortages in 2018? </w:t>
      </w:r>
      <w:r w:rsidDel="00000000" w:rsidR="00000000" w:rsidRPr="00000000">
        <w:rPr>
          <w:rFonts w:ascii="Times New Roman" w:cs="Times New Roman" w:eastAsia="Times New Roman" w:hAnsi="Times New Roman"/>
          <w:i w:val="1"/>
          <w:sz w:val="24"/>
          <w:szCs w:val="24"/>
          <w:rtl w:val="0"/>
        </w:rPr>
        <w:t xml:space="preserve">New England Board of Higher Education</w:t>
      </w:r>
      <w:r w:rsidDel="00000000" w:rsidR="00000000" w:rsidRPr="00000000">
        <w:rPr>
          <w:rFonts w:ascii="Times New Roman" w:cs="Times New Roman" w:eastAsia="Times New Roman" w:hAnsi="Times New Roman"/>
          <w:sz w:val="24"/>
          <w:szCs w:val="24"/>
          <w:rtl w:val="0"/>
        </w:rPr>
        <w:t xml:space="preserve">, 1-5. Boston:  Retrieved from </w:t>
      </w:r>
      <w:hyperlink r:id="rId16">
        <w:r w:rsidDel="00000000" w:rsidR="00000000" w:rsidRPr="00000000">
          <w:rPr>
            <w:rFonts w:ascii="Times New Roman" w:cs="Times New Roman" w:eastAsia="Times New Roman" w:hAnsi="Times New Roman"/>
            <w:color w:val="0000ff"/>
            <w:sz w:val="24"/>
            <w:szCs w:val="24"/>
            <w:u w:val="single"/>
            <w:rtl w:val="0"/>
          </w:rPr>
          <w:t xml:space="preserve">http://www.nebhe.org/thejournal/college-labor-shortages-in-2018/</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pPr>
        <w:contextualSpacing w:val="0"/>
      </w:pPr>
      <w:r w:rsidDel="00000000" w:rsidR="00000000" w:rsidRPr="00000000">
        <w:rPr>
          <w:rFonts w:ascii="Times New Roman" w:cs="Times New Roman" w:eastAsia="Times New Roman" w:hAnsi="Times New Roman"/>
          <w:sz w:val="24"/>
          <w:szCs w:val="24"/>
          <w:rtl w:val="0"/>
        </w:rPr>
        <w:t xml:space="preserve">Hauptman, A.M. (2013, May/June). U.S. attainment rates, demographics, and the supply of college graduates. </w:t>
      </w:r>
      <w:r w:rsidDel="00000000" w:rsidR="00000000" w:rsidRPr="00000000">
        <w:rPr>
          <w:rFonts w:ascii="Times New Roman" w:cs="Times New Roman" w:eastAsia="Times New Roman" w:hAnsi="Times New Roman"/>
          <w:i w:val="1"/>
          <w:sz w:val="24"/>
          <w:szCs w:val="24"/>
          <w:rtl w:val="0"/>
        </w:rPr>
        <w:t xml:space="preserve">Change: The Magazine of Higher Learning</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45</w:t>
      </w:r>
      <w:r w:rsidDel="00000000" w:rsidR="00000000" w:rsidRPr="00000000">
        <w:rPr>
          <w:rFonts w:ascii="Times New Roman" w:cs="Times New Roman" w:eastAsia="Times New Roman" w:hAnsi="Times New Roman"/>
          <w:sz w:val="24"/>
          <w:szCs w:val="24"/>
          <w:rtl w:val="0"/>
        </w:rPr>
        <w:t xml:space="preserve">(3), 24-33.</w:t>
      </w:r>
    </w:p>
    <w:p w:rsidR="00000000" w:rsidDel="00000000" w:rsidP="00000000" w:rsidRDefault="00000000" w:rsidRPr="00000000">
      <w:pPr>
        <w:contextualSpacing w:val="0"/>
      </w:pPr>
      <w:r w:rsidDel="00000000" w:rsidR="00000000" w:rsidRPr="00000000">
        <w:rPr>
          <w:rFonts w:ascii="Times New Roman" w:cs="Times New Roman" w:eastAsia="Times New Roman" w:hAnsi="Times New Roman"/>
          <w:sz w:val="24"/>
          <w:szCs w:val="24"/>
          <w:rtl w:val="0"/>
        </w:rPr>
        <w:t xml:space="preserve">Higher Education Authority of Ireland. (2013). </w:t>
      </w:r>
      <w:r w:rsidDel="00000000" w:rsidR="00000000" w:rsidRPr="00000000">
        <w:rPr>
          <w:rFonts w:ascii="Times New Roman" w:cs="Times New Roman" w:eastAsia="Times New Roman" w:hAnsi="Times New Roman"/>
          <w:i w:val="1"/>
          <w:sz w:val="24"/>
          <w:szCs w:val="24"/>
          <w:rtl w:val="0"/>
        </w:rPr>
        <w:t xml:space="preserve">Higher education key facts and figures 2011/12</w:t>
      </w:r>
      <w:r w:rsidDel="00000000" w:rsidR="00000000" w:rsidRPr="00000000">
        <w:rPr>
          <w:rFonts w:ascii="Times New Roman" w:cs="Times New Roman" w:eastAsia="Times New Roman" w:hAnsi="Times New Roman"/>
          <w:sz w:val="24"/>
          <w:szCs w:val="24"/>
          <w:rtl w:val="0"/>
        </w:rPr>
        <w:t xml:space="preserve">. Dublin: Author. Retrieved from </w:t>
      </w:r>
      <w:hyperlink r:id="rId17">
        <w:r w:rsidDel="00000000" w:rsidR="00000000" w:rsidRPr="00000000">
          <w:rPr>
            <w:rFonts w:ascii="Times New Roman" w:cs="Times New Roman" w:eastAsia="Times New Roman" w:hAnsi="Times New Roman"/>
            <w:color w:val="0000ff"/>
            <w:sz w:val="24"/>
            <w:szCs w:val="24"/>
            <w:u w:val="single"/>
            <w:rtl w:val="0"/>
          </w:rPr>
          <w:t xml:space="preserve">http://www.hea.ie/sites/default/files/keyfactsfigures1112_0.pdf</w:t>
        </w:r>
      </w:hyperlink>
      <w:r w:rsidDel="00000000" w:rsidR="00000000" w:rsidRPr="00000000">
        <w:rPr>
          <w:rFonts w:ascii="Times New Roman" w:cs="Times New Roman" w:eastAsia="Times New Roman" w:hAnsi="Times New Roman"/>
          <w:sz w:val="24"/>
          <w:szCs w:val="24"/>
          <w:rtl w:val="0"/>
        </w:rPr>
        <w:t xml:space="preserve">. Accessed 5 July 2014.</w:t>
      </w:r>
    </w:p>
    <w:p w:rsidR="00000000" w:rsidDel="00000000" w:rsidP="00000000" w:rsidRDefault="00000000" w:rsidRPr="00000000">
      <w:pPr>
        <w:spacing w:after="0" w:before="0" w:line="276" w:lineRule="auto"/>
        <w:ind w:left="720" w:hanging="720"/>
        <w:contextualSpacing w:val="0"/>
        <w:jc w:val="left"/>
      </w:pPr>
      <w:r w:rsidDel="00000000" w:rsidR="00000000" w:rsidRPr="00000000">
        <w:rPr>
          <w:rFonts w:ascii="Times New Roman" w:cs="Times New Roman" w:eastAsia="Times New Roman" w:hAnsi="Times New Roman"/>
          <w:b w:val="0"/>
          <w:sz w:val="24"/>
          <w:szCs w:val="24"/>
          <w:rtl w:val="0"/>
        </w:rPr>
        <w:t xml:space="preserve">Huisman, J. (2008). Shifting boundaries in higher education: Dutch </w:t>
      </w:r>
      <w:r w:rsidDel="00000000" w:rsidR="00000000" w:rsidRPr="00000000">
        <w:rPr>
          <w:rFonts w:ascii="Times New Roman" w:cs="Times New Roman" w:eastAsia="Times New Roman" w:hAnsi="Times New Roman"/>
          <w:b w:val="0"/>
          <w:i w:val="1"/>
          <w:sz w:val="24"/>
          <w:szCs w:val="24"/>
          <w:rtl w:val="0"/>
        </w:rPr>
        <w:t xml:space="preserve">Hogescholen</w:t>
      </w:r>
      <w:r w:rsidDel="00000000" w:rsidR="00000000" w:rsidRPr="00000000">
        <w:rPr>
          <w:rFonts w:ascii="Times New Roman" w:cs="Times New Roman" w:eastAsia="Times New Roman" w:hAnsi="Times New Roman"/>
          <w:b w:val="0"/>
          <w:sz w:val="24"/>
          <w:szCs w:val="24"/>
          <w:rtl w:val="0"/>
        </w:rPr>
        <w:t xml:space="preserve"> on the move. In In J.S. Taylor, J.B. Ferreira, M.D.L. Machado, &amp; R. Santiago (Eds.),  </w:t>
      </w:r>
      <w:r w:rsidDel="00000000" w:rsidR="00000000" w:rsidRPr="00000000">
        <w:rPr>
          <w:rFonts w:ascii="Times New Roman" w:cs="Times New Roman" w:eastAsia="Times New Roman" w:hAnsi="Times New Roman"/>
          <w:b w:val="0"/>
          <w:i w:val="1"/>
          <w:sz w:val="24"/>
          <w:szCs w:val="24"/>
          <w:rtl w:val="0"/>
        </w:rPr>
        <w:t xml:space="preserve">Non-University higher education in Europe</w:t>
      </w:r>
      <w:r w:rsidDel="00000000" w:rsidR="00000000" w:rsidRPr="00000000">
        <w:rPr>
          <w:rFonts w:ascii="Times New Roman" w:cs="Times New Roman" w:eastAsia="Times New Roman" w:hAnsi="Times New Roman"/>
          <w:b w:val="0"/>
          <w:sz w:val="24"/>
          <w:szCs w:val="24"/>
          <w:rtl w:val="0"/>
        </w:rPr>
        <w:t xml:space="preserve"> (pp. 147-168). Dordrecht: Springer. </w:t>
      </w:r>
    </w:p>
    <w:p w:rsidR="00000000" w:rsidDel="00000000" w:rsidP="00000000" w:rsidRDefault="00000000" w:rsidRPr="00000000">
      <w:pPr>
        <w:contextualSpacing w:val="0"/>
      </w:pPr>
      <w:r w:rsidDel="00000000" w:rsidR="00000000" w:rsidRPr="00000000">
        <w:rPr>
          <w:rFonts w:ascii="Times New Roman" w:cs="Times New Roman" w:eastAsia="Times New Roman" w:hAnsi="Times New Roman"/>
          <w:sz w:val="24"/>
          <w:szCs w:val="24"/>
          <w:rtl w:val="0"/>
        </w:rPr>
        <w:t xml:space="preserve">Institute of International Education. (2009). </w:t>
      </w:r>
      <w:r w:rsidDel="00000000" w:rsidR="00000000" w:rsidRPr="00000000">
        <w:rPr>
          <w:rFonts w:ascii="Times New Roman" w:cs="Times New Roman" w:eastAsia="Times New Roman" w:hAnsi="Times New Roman"/>
          <w:i w:val="1"/>
          <w:sz w:val="24"/>
          <w:szCs w:val="24"/>
          <w:rtl w:val="0"/>
        </w:rPr>
        <w:t xml:space="preserve">Three-year Bologna-compliant degrees: Responses from U.S. graduate schools.</w:t>
      </w:r>
      <w:r w:rsidDel="00000000" w:rsidR="00000000" w:rsidRPr="00000000">
        <w:rPr>
          <w:rFonts w:ascii="Times New Roman" w:cs="Times New Roman" w:eastAsia="Times New Roman" w:hAnsi="Times New Roman"/>
          <w:sz w:val="24"/>
          <w:szCs w:val="24"/>
          <w:rtl w:val="0"/>
        </w:rPr>
        <w:t xml:space="preserve"> New York, NY: Author. Retrieved from </w:t>
      </w:r>
      <w:r w:rsidDel="00000000" w:rsidR="00000000" w:rsidRPr="00000000">
        <w:rPr>
          <w:rFonts w:ascii="Times New Roman" w:cs="Times New Roman" w:eastAsia="Times New Roman" w:hAnsi="Times New Roman"/>
          <w:color w:val="0000ff"/>
          <w:sz w:val="24"/>
          <w:szCs w:val="24"/>
          <w:u w:val="single"/>
          <w:rtl w:val="0"/>
        </w:rPr>
        <w:t xml:space="preserve">file:///C:/Users/Mike%20Skolnik/Downloads/Three-Year-Bologna-Compliant-Degrees-US-Grad-Schl.pdf</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pPr>
        <w:contextualSpacing w:val="0"/>
      </w:pPr>
      <w:r w:rsidDel="00000000" w:rsidR="00000000" w:rsidRPr="00000000">
        <w:rPr>
          <w:rFonts w:ascii="Times New Roman" w:cs="Times New Roman" w:eastAsia="Times New Roman" w:hAnsi="Times New Roman"/>
          <w:sz w:val="24"/>
          <w:szCs w:val="24"/>
          <w:rtl w:val="0"/>
        </w:rPr>
        <w:t xml:space="preserve">Karandjeff, K. &amp; Schiorring, E. (2011). Career and technical education (CTE) transfer research project: Improving transfer pathways for California college students in CTE programs. </w:t>
      </w:r>
      <w:r w:rsidDel="00000000" w:rsidR="00000000" w:rsidRPr="00000000">
        <w:rPr>
          <w:rFonts w:ascii="Times New Roman" w:cs="Times New Roman" w:eastAsia="Times New Roman" w:hAnsi="Times New Roman"/>
          <w:i w:val="1"/>
          <w:sz w:val="24"/>
          <w:szCs w:val="24"/>
          <w:rtl w:val="0"/>
        </w:rPr>
        <w:t xml:space="preserve">Journal of Applied Research in the Community College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18</w:t>
      </w:r>
      <w:r w:rsidDel="00000000" w:rsidR="00000000" w:rsidRPr="00000000">
        <w:rPr>
          <w:rFonts w:ascii="Times New Roman" w:cs="Times New Roman" w:eastAsia="Times New Roman" w:hAnsi="Times New Roman"/>
          <w:sz w:val="24"/>
          <w:szCs w:val="24"/>
          <w:rtl w:val="0"/>
        </w:rPr>
        <w:t xml:space="preserve">(2), 42-51.</w:t>
      </w:r>
    </w:p>
    <w:p w:rsidR="00000000" w:rsidDel="00000000" w:rsidP="00000000" w:rsidRDefault="00000000" w:rsidRPr="00000000">
      <w:pPr>
        <w:contextualSpacing w:val="0"/>
      </w:pPr>
      <w:r w:rsidDel="00000000" w:rsidR="00000000" w:rsidRPr="00000000">
        <w:rPr>
          <w:rFonts w:ascii="Times New Roman" w:cs="Times New Roman" w:eastAsia="Times New Roman" w:hAnsi="Times New Roman"/>
          <w:sz w:val="24"/>
          <w:szCs w:val="24"/>
          <w:rtl w:val="0"/>
        </w:rPr>
        <w:t xml:space="preserve">Kis, V. &amp; Park, E. (2012). </w:t>
      </w:r>
      <w:r w:rsidDel="00000000" w:rsidR="00000000" w:rsidRPr="00000000">
        <w:rPr>
          <w:rFonts w:ascii="Times New Roman" w:cs="Times New Roman" w:eastAsia="Times New Roman" w:hAnsi="Times New Roman"/>
          <w:i w:val="1"/>
          <w:sz w:val="24"/>
          <w:szCs w:val="24"/>
          <w:rtl w:val="0"/>
        </w:rPr>
        <w:t xml:space="preserve">A skills beyond school review of the United Korea</w:t>
      </w:r>
      <w:r w:rsidDel="00000000" w:rsidR="00000000" w:rsidRPr="00000000">
        <w:rPr>
          <w:rFonts w:ascii="Times New Roman" w:cs="Times New Roman" w:eastAsia="Times New Roman" w:hAnsi="Times New Roman"/>
          <w:sz w:val="24"/>
          <w:szCs w:val="24"/>
          <w:rtl w:val="0"/>
        </w:rPr>
        <w:t xml:space="preserve">, OECD reviews of vocational education and training. Paris: OECD Publishing.</w:t>
      </w:r>
    </w:p>
    <w:p w:rsidR="00000000" w:rsidDel="00000000" w:rsidP="00000000" w:rsidRDefault="00000000" w:rsidRPr="00000000">
      <w:pPr>
        <w:contextualSpacing w:val="0"/>
      </w:pPr>
      <w:r w:rsidDel="00000000" w:rsidR="00000000" w:rsidRPr="00000000">
        <w:rPr>
          <w:rFonts w:ascii="Times New Roman" w:cs="Times New Roman" w:eastAsia="Times New Roman" w:hAnsi="Times New Roman"/>
          <w:sz w:val="24"/>
          <w:szCs w:val="24"/>
          <w:rtl w:val="0"/>
        </w:rPr>
        <w:t xml:space="preserve">Klumpp, M., de Boer, H. &amp; Vossensteyn, H. (2014). Comparing national policies on institutional profiling in Germany and the Netherlands. </w:t>
      </w:r>
      <w:r w:rsidDel="00000000" w:rsidR="00000000" w:rsidRPr="00000000">
        <w:rPr>
          <w:rFonts w:ascii="Times New Roman" w:cs="Times New Roman" w:eastAsia="Times New Roman" w:hAnsi="Times New Roman"/>
          <w:i w:val="1"/>
          <w:sz w:val="24"/>
          <w:szCs w:val="24"/>
          <w:rtl w:val="0"/>
        </w:rPr>
        <w:t xml:space="preserve">Comparative Education</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i w:val="1"/>
          <w:sz w:val="24"/>
          <w:szCs w:val="24"/>
          <w:rtl w:val="0"/>
        </w:rPr>
        <w:t xml:space="preserve"> 50</w:t>
      </w:r>
      <w:r w:rsidDel="00000000" w:rsidR="00000000" w:rsidRPr="00000000">
        <w:rPr>
          <w:rFonts w:ascii="Times New Roman" w:cs="Times New Roman" w:eastAsia="Times New Roman" w:hAnsi="Times New Roman"/>
          <w:sz w:val="24"/>
          <w:szCs w:val="24"/>
          <w:rtl w:val="0"/>
        </w:rPr>
        <w:t xml:space="preserve">(2), 156-176.</w:t>
      </w:r>
    </w:p>
    <w:p w:rsidR="00000000" w:rsidDel="00000000" w:rsidP="00000000" w:rsidRDefault="00000000" w:rsidRPr="00000000">
      <w:pPr>
        <w:contextualSpacing w:val="0"/>
      </w:pPr>
      <w:r w:rsidDel="00000000" w:rsidR="00000000" w:rsidRPr="00000000">
        <w:rPr>
          <w:rFonts w:ascii="Times New Roman" w:cs="Times New Roman" w:eastAsia="Times New Roman" w:hAnsi="Times New Roman"/>
          <w:sz w:val="24"/>
          <w:szCs w:val="24"/>
          <w:rtl w:val="0"/>
        </w:rPr>
        <w:t xml:space="preserve">Klumpp, </w:t>
      </w:r>
      <w:r w:rsidDel="00000000" w:rsidR="00000000" w:rsidRPr="00000000">
        <w:rPr>
          <w:rFonts w:ascii="Times New Roman" w:cs="Times New Roman" w:eastAsia="Times New Roman" w:hAnsi="Times New Roman"/>
          <w:color w:val="000000"/>
          <w:sz w:val="24"/>
          <w:szCs w:val="24"/>
          <w:rtl w:val="0"/>
        </w:rPr>
        <w:t xml:space="preserve">M. &amp; Teichler, U. (2008). German </w:t>
      </w:r>
      <w:r w:rsidDel="00000000" w:rsidR="00000000" w:rsidRPr="00000000">
        <w:rPr>
          <w:rFonts w:ascii="Times New Roman" w:cs="Times New Roman" w:eastAsia="Times New Roman" w:hAnsi="Times New Roman"/>
          <w:i w:val="1"/>
          <w:color w:val="000000"/>
          <w:sz w:val="24"/>
          <w:szCs w:val="24"/>
          <w:rtl w:val="0"/>
        </w:rPr>
        <w:t xml:space="preserve">Fachhochschulen</w:t>
      </w:r>
      <w:r w:rsidDel="00000000" w:rsidR="00000000" w:rsidRPr="00000000">
        <w:rPr>
          <w:rFonts w:ascii="Times New Roman" w:cs="Times New Roman" w:eastAsia="Times New Roman" w:hAnsi="Times New Roman"/>
          <w:color w:val="000000"/>
          <w:sz w:val="24"/>
          <w:szCs w:val="24"/>
          <w:rtl w:val="0"/>
        </w:rPr>
        <w:t xml:space="preserve">: Toward the end of a success story? </w:t>
      </w:r>
      <w:r w:rsidDel="00000000" w:rsidR="00000000" w:rsidRPr="00000000">
        <w:rPr>
          <w:rFonts w:ascii="Times New Roman" w:cs="Times New Roman" w:eastAsia="Times New Roman" w:hAnsi="Times New Roman"/>
          <w:sz w:val="24"/>
          <w:szCs w:val="24"/>
          <w:rtl w:val="0"/>
        </w:rPr>
        <w:t xml:space="preserve">In In J.S. Taylor, J.B. Ferreira, M.D.L. Machado, &amp; R. Santiago (Eds.),  </w:t>
      </w:r>
      <w:r w:rsidDel="00000000" w:rsidR="00000000" w:rsidRPr="00000000">
        <w:rPr>
          <w:rFonts w:ascii="Times New Roman" w:cs="Times New Roman" w:eastAsia="Times New Roman" w:hAnsi="Times New Roman"/>
          <w:i w:val="1"/>
          <w:sz w:val="24"/>
          <w:szCs w:val="24"/>
          <w:rtl w:val="0"/>
        </w:rPr>
        <w:t xml:space="preserve">Non-University higher education in Europe</w:t>
      </w:r>
      <w:r w:rsidDel="00000000" w:rsidR="00000000" w:rsidRPr="00000000">
        <w:rPr>
          <w:rFonts w:ascii="Times New Roman" w:cs="Times New Roman" w:eastAsia="Times New Roman" w:hAnsi="Times New Roman"/>
          <w:sz w:val="24"/>
          <w:szCs w:val="24"/>
          <w:rtl w:val="0"/>
        </w:rPr>
        <w:t xml:space="preserve"> (pp. 99-122). Dordrecht: Springer. </w:t>
      </w:r>
    </w:p>
    <w:p w:rsidR="00000000" w:rsidDel="00000000" w:rsidP="00000000" w:rsidRDefault="00000000" w:rsidRPr="00000000">
      <w:pPr>
        <w:contextualSpacing w:val="0"/>
      </w:pPr>
      <w:r w:rsidDel="00000000" w:rsidR="00000000" w:rsidRPr="00000000">
        <w:rPr>
          <w:rFonts w:ascii="Times New Roman" w:cs="Times New Roman" w:eastAsia="Times New Roman" w:hAnsi="Times New Roman"/>
          <w:sz w:val="24"/>
          <w:szCs w:val="24"/>
          <w:rtl w:val="0"/>
        </w:rPr>
        <w:t xml:space="preserve">Kuczera, M. and Field, S. (2013). </w:t>
      </w:r>
      <w:r w:rsidDel="00000000" w:rsidR="00000000" w:rsidRPr="00000000">
        <w:rPr>
          <w:rFonts w:ascii="Times New Roman" w:cs="Times New Roman" w:eastAsia="Times New Roman" w:hAnsi="Times New Roman"/>
          <w:i w:val="1"/>
          <w:sz w:val="24"/>
          <w:szCs w:val="24"/>
          <w:rtl w:val="0"/>
        </w:rPr>
        <w:t xml:space="preserve">A skills beyond school review of the United States</w:t>
      </w:r>
      <w:r w:rsidDel="00000000" w:rsidR="00000000" w:rsidRPr="00000000">
        <w:rPr>
          <w:rFonts w:ascii="Times New Roman" w:cs="Times New Roman" w:eastAsia="Times New Roman" w:hAnsi="Times New Roman"/>
          <w:sz w:val="24"/>
          <w:szCs w:val="24"/>
          <w:rtl w:val="0"/>
        </w:rPr>
        <w:t xml:space="preserve">, OECD reviews of vocational education and training. Paris: OECD Publishing. </w:t>
      </w:r>
    </w:p>
    <w:p w:rsidR="00000000" w:rsidDel="00000000" w:rsidP="00000000" w:rsidRDefault="00000000" w:rsidRPr="00000000">
      <w:pPr>
        <w:spacing w:line="240" w:lineRule="auto"/>
        <w:contextualSpacing w:val="0"/>
      </w:pPr>
      <w:r w:rsidDel="00000000" w:rsidR="00000000" w:rsidRPr="00000000">
        <w:rPr>
          <w:rFonts w:ascii="Times New Roman" w:cs="Times New Roman" w:eastAsia="Times New Roman" w:hAnsi="Times New Roman"/>
          <w:sz w:val="24"/>
          <w:szCs w:val="24"/>
          <w:rtl w:val="0"/>
        </w:rPr>
        <w:t xml:space="preserve">Levin, J. S. (2004). The community college as a baccalaureate-granting institution. </w:t>
      </w:r>
      <w:r w:rsidDel="00000000" w:rsidR="00000000" w:rsidRPr="00000000">
        <w:rPr>
          <w:rFonts w:ascii="Times New Roman" w:cs="Times New Roman" w:eastAsia="Times New Roman" w:hAnsi="Times New Roman"/>
          <w:i w:val="1"/>
          <w:sz w:val="24"/>
          <w:szCs w:val="24"/>
          <w:rtl w:val="0"/>
        </w:rPr>
        <w:t xml:space="preserve">The Review </w:t>
      </w:r>
    </w:p>
    <w:p w:rsidR="00000000" w:rsidDel="00000000" w:rsidP="00000000" w:rsidRDefault="00000000" w:rsidRPr="00000000">
      <w:pPr>
        <w:ind w:firstLine="0"/>
        <w:contextualSpacing w:val="0"/>
      </w:pPr>
      <w:r w:rsidDel="00000000" w:rsidR="00000000" w:rsidRPr="00000000">
        <w:rPr>
          <w:rFonts w:ascii="Times New Roman" w:cs="Times New Roman" w:eastAsia="Times New Roman" w:hAnsi="Times New Roman"/>
          <w:i w:val="1"/>
          <w:sz w:val="24"/>
          <w:szCs w:val="24"/>
          <w:rtl w:val="0"/>
        </w:rPr>
        <w:t xml:space="preserve">of Higher Education, 28</w:t>
      </w:r>
      <w:r w:rsidDel="00000000" w:rsidR="00000000" w:rsidRPr="00000000">
        <w:rPr>
          <w:rFonts w:ascii="Times New Roman" w:cs="Times New Roman" w:eastAsia="Times New Roman" w:hAnsi="Times New Roman"/>
          <w:sz w:val="24"/>
          <w:szCs w:val="24"/>
          <w:rtl w:val="0"/>
        </w:rPr>
        <w:t xml:space="preserve">, 1-22.</w:t>
      </w:r>
    </w:p>
    <w:p w:rsidR="00000000" w:rsidDel="00000000" w:rsidP="00000000" w:rsidRDefault="00000000" w:rsidRPr="00000000">
      <w:pPr>
        <w:contextualSpacing w:val="0"/>
      </w:pPr>
      <w:r w:rsidDel="00000000" w:rsidR="00000000" w:rsidRPr="00000000">
        <w:rPr>
          <w:rFonts w:ascii="Times New Roman" w:cs="Times New Roman" w:eastAsia="Times New Roman" w:hAnsi="Times New Roman"/>
          <w:sz w:val="24"/>
          <w:szCs w:val="24"/>
          <w:rtl w:val="0"/>
        </w:rPr>
        <w:t xml:space="preserve">Lewin, T. (2010, 23 July). Once a leader, U.S. lags in college degrees. </w:t>
      </w:r>
      <w:r w:rsidDel="00000000" w:rsidR="00000000" w:rsidRPr="00000000">
        <w:rPr>
          <w:rFonts w:ascii="Times New Roman" w:cs="Times New Roman" w:eastAsia="Times New Roman" w:hAnsi="Times New Roman"/>
          <w:i w:val="1"/>
          <w:sz w:val="24"/>
          <w:szCs w:val="24"/>
          <w:rtl w:val="0"/>
        </w:rPr>
        <w:t xml:space="preserve">New York Times</w:t>
      </w:r>
      <w:r w:rsidDel="00000000" w:rsidR="00000000" w:rsidRPr="00000000">
        <w:rPr>
          <w:rFonts w:ascii="Times New Roman" w:cs="Times New Roman" w:eastAsia="Times New Roman" w:hAnsi="Times New Roman"/>
          <w:sz w:val="24"/>
          <w:szCs w:val="24"/>
          <w:rtl w:val="0"/>
        </w:rPr>
        <w:t xml:space="preserve">. Retrieved from </w:t>
      </w:r>
      <w:hyperlink r:id="rId18">
        <w:r w:rsidDel="00000000" w:rsidR="00000000" w:rsidRPr="00000000">
          <w:rPr>
            <w:rFonts w:ascii="Times New Roman" w:cs="Times New Roman" w:eastAsia="Times New Roman" w:hAnsi="Times New Roman"/>
            <w:color w:val="0000ff"/>
            <w:sz w:val="24"/>
            <w:szCs w:val="24"/>
            <w:u w:val="single"/>
            <w:rtl w:val="0"/>
          </w:rPr>
          <w:t xml:space="preserve">http://www.nytimes.com/2010/07/23/education/23college.html?_r=0</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pPr>
        <w:contextualSpacing w:val="0"/>
      </w:pPr>
      <w:r w:rsidDel="00000000" w:rsidR="00000000" w:rsidRPr="00000000">
        <w:rPr>
          <w:rFonts w:ascii="Times New Roman" w:cs="Times New Roman" w:eastAsia="Times New Roman" w:hAnsi="Times New Roman"/>
          <w:sz w:val="24"/>
          <w:szCs w:val="24"/>
          <w:rtl w:val="0"/>
        </w:rPr>
        <w:t xml:space="preserve">Lumina Foundation. (2015a). </w:t>
      </w:r>
      <w:r w:rsidDel="00000000" w:rsidR="00000000" w:rsidRPr="00000000">
        <w:rPr>
          <w:rFonts w:ascii="Times New Roman" w:cs="Times New Roman" w:eastAsia="Times New Roman" w:hAnsi="Times New Roman"/>
          <w:i w:val="1"/>
          <w:sz w:val="24"/>
          <w:szCs w:val="24"/>
          <w:rtl w:val="0"/>
        </w:rPr>
        <w:t xml:space="preserve">A stronger nation through higher education</w:t>
      </w:r>
      <w:r w:rsidDel="00000000" w:rsidR="00000000" w:rsidRPr="00000000">
        <w:rPr>
          <w:rFonts w:ascii="Times New Roman" w:cs="Times New Roman" w:eastAsia="Times New Roman" w:hAnsi="Times New Roman"/>
          <w:sz w:val="24"/>
          <w:szCs w:val="24"/>
          <w:rtl w:val="0"/>
        </w:rPr>
        <w:t xml:space="preserve">. Indianapolis, IN: Author. Retrieved from </w:t>
      </w:r>
      <w:hyperlink r:id="rId19">
        <w:r w:rsidDel="00000000" w:rsidR="00000000" w:rsidRPr="00000000">
          <w:rPr>
            <w:rFonts w:ascii="Times New Roman" w:cs="Times New Roman" w:eastAsia="Times New Roman" w:hAnsi="Times New Roman"/>
            <w:color w:val="0000ff"/>
            <w:sz w:val="24"/>
            <w:szCs w:val="24"/>
            <w:u w:val="single"/>
            <w:rtl w:val="0"/>
          </w:rPr>
          <w:t xml:space="preserve">http://www.luminafoundation.org/files/publications/A_stronger_nation_through_higher_education-2015.pdf</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pPr>
        <w:contextualSpacing w:val="0"/>
      </w:pPr>
      <w:r w:rsidDel="00000000" w:rsidR="00000000" w:rsidRPr="00000000">
        <w:rPr>
          <w:rFonts w:ascii="Times New Roman" w:cs="Times New Roman" w:eastAsia="Times New Roman" w:hAnsi="Times New Roman"/>
          <w:sz w:val="24"/>
          <w:szCs w:val="24"/>
          <w:rtl w:val="0"/>
        </w:rPr>
        <w:t xml:space="preserve">Lumina Foundation. (2015b). </w:t>
      </w:r>
      <w:r w:rsidDel="00000000" w:rsidR="00000000" w:rsidRPr="00000000">
        <w:rPr>
          <w:rFonts w:ascii="Times New Roman" w:cs="Times New Roman" w:eastAsia="Times New Roman" w:hAnsi="Times New Roman"/>
          <w:i w:val="1"/>
          <w:sz w:val="24"/>
          <w:szCs w:val="24"/>
          <w:rtl w:val="0"/>
        </w:rPr>
        <w:t xml:space="preserve">Goal 2025</w:t>
      </w:r>
      <w:r w:rsidDel="00000000" w:rsidR="00000000" w:rsidRPr="00000000">
        <w:rPr>
          <w:rFonts w:ascii="Times New Roman" w:cs="Times New Roman" w:eastAsia="Times New Roman" w:hAnsi="Times New Roman"/>
          <w:sz w:val="24"/>
          <w:szCs w:val="24"/>
          <w:rtl w:val="0"/>
        </w:rPr>
        <w:t xml:space="preserve">. Indianapolis, IN: Author. Retrieved from </w:t>
      </w:r>
      <w:hyperlink r:id="rId20">
        <w:r w:rsidDel="00000000" w:rsidR="00000000" w:rsidRPr="00000000">
          <w:rPr>
            <w:rFonts w:ascii="Times New Roman" w:cs="Times New Roman" w:eastAsia="Times New Roman" w:hAnsi="Times New Roman"/>
            <w:color w:val="0000ff"/>
            <w:sz w:val="24"/>
            <w:szCs w:val="24"/>
            <w:u w:val="single"/>
            <w:rtl w:val="0"/>
          </w:rPr>
          <w:t xml:space="preserve">http://www.luminafoundation.org/goal_2025</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pPr>
        <w:contextualSpacing w:val="0"/>
      </w:pPr>
      <w:r w:rsidDel="00000000" w:rsidR="00000000" w:rsidRPr="00000000">
        <w:rPr>
          <w:rFonts w:ascii="Times New Roman" w:cs="Times New Roman" w:eastAsia="Times New Roman" w:hAnsi="Times New Roman"/>
          <w:sz w:val="24"/>
          <w:szCs w:val="24"/>
          <w:rtl w:val="0"/>
        </w:rPr>
        <w:t xml:space="preserve">Ministry of Education and Culture. (2013). </w:t>
      </w:r>
      <w:r w:rsidDel="00000000" w:rsidR="00000000" w:rsidRPr="00000000">
        <w:rPr>
          <w:rFonts w:ascii="Times New Roman" w:cs="Times New Roman" w:eastAsia="Times New Roman" w:hAnsi="Times New Roman"/>
          <w:i w:val="1"/>
          <w:sz w:val="24"/>
          <w:szCs w:val="24"/>
          <w:rtl w:val="0"/>
        </w:rPr>
        <w:t xml:space="preserve">Vocational education and training: Administration and finance</w:t>
      </w:r>
      <w:r w:rsidDel="00000000" w:rsidR="00000000" w:rsidRPr="00000000">
        <w:rPr>
          <w:rFonts w:ascii="Times New Roman" w:cs="Times New Roman" w:eastAsia="Times New Roman" w:hAnsi="Times New Roman"/>
          <w:sz w:val="24"/>
          <w:szCs w:val="24"/>
          <w:rtl w:val="0"/>
        </w:rPr>
        <w:t xml:space="preserve">. Helsinki: Author. Retrieved from </w:t>
      </w:r>
      <w:hyperlink r:id="rId21">
        <w:r w:rsidDel="00000000" w:rsidR="00000000" w:rsidRPr="00000000">
          <w:rPr>
            <w:rFonts w:ascii="Times New Roman" w:cs="Times New Roman" w:eastAsia="Times New Roman" w:hAnsi="Times New Roman"/>
            <w:color w:val="0000ff"/>
            <w:sz w:val="24"/>
            <w:szCs w:val="24"/>
            <w:u w:val="single"/>
            <w:rtl w:val="0"/>
          </w:rPr>
          <w:t xml:space="preserve">http://www.minedu.fi/OPM/Koulutus/ammatillinen_koulutus/hallinto_ohjaus_ja_rahoitus/?lang=en</w:t>
        </w:r>
      </w:hyperlink>
      <w:r w:rsidDel="00000000" w:rsidR="00000000" w:rsidRPr="00000000">
        <w:rPr>
          <w:rFonts w:ascii="Times New Roman" w:cs="Times New Roman" w:eastAsia="Times New Roman" w:hAnsi="Times New Roman"/>
          <w:color w:val="0000ff"/>
          <w:sz w:val="24"/>
          <w:szCs w:val="24"/>
          <w:u w:val="single"/>
          <w:rtl w:val="0"/>
        </w:rPr>
        <w:t xml:space="preserve">.</w:t>
      </w:r>
      <w:r w:rsidDel="00000000" w:rsidR="00000000" w:rsidRPr="00000000">
        <w:rPr>
          <w:rtl w:val="0"/>
        </w:rPr>
      </w:r>
    </w:p>
    <w:p w:rsidR="00000000" w:rsidDel="00000000" w:rsidP="00000000" w:rsidRDefault="00000000" w:rsidRPr="00000000">
      <w:pPr>
        <w:contextualSpacing w:val="0"/>
      </w:pPr>
      <w:r w:rsidDel="00000000" w:rsidR="00000000" w:rsidRPr="00000000">
        <w:rPr>
          <w:rFonts w:ascii="Times New Roman" w:cs="Times New Roman" w:eastAsia="Times New Roman" w:hAnsi="Times New Roman"/>
          <w:sz w:val="24"/>
          <w:szCs w:val="24"/>
          <w:rtl w:val="0"/>
        </w:rPr>
        <w:t xml:space="preserve">National Center for Education Statistics. (2008). </w:t>
      </w:r>
      <w:r w:rsidDel="00000000" w:rsidR="00000000" w:rsidRPr="00000000">
        <w:rPr>
          <w:rFonts w:ascii="Times New Roman" w:cs="Times New Roman" w:eastAsia="Times New Roman" w:hAnsi="Times New Roman"/>
          <w:i w:val="1"/>
          <w:sz w:val="24"/>
          <w:szCs w:val="24"/>
          <w:rtl w:val="0"/>
        </w:rPr>
        <w:t xml:space="preserve">Descriptive summary of 2003-04 beginning postsecondary students three years later</w:t>
      </w:r>
      <w:r w:rsidDel="00000000" w:rsidR="00000000" w:rsidRPr="00000000">
        <w:rPr>
          <w:rFonts w:ascii="Times New Roman" w:cs="Times New Roman" w:eastAsia="Times New Roman" w:hAnsi="Times New Roman"/>
          <w:sz w:val="24"/>
          <w:szCs w:val="24"/>
          <w:rtl w:val="0"/>
        </w:rPr>
        <w:t xml:space="preserve">. Washington, DC: Author. Retrieved from </w:t>
      </w:r>
      <w:hyperlink r:id="rId22">
        <w:r w:rsidDel="00000000" w:rsidR="00000000" w:rsidRPr="00000000">
          <w:rPr>
            <w:rFonts w:ascii="Times New Roman" w:cs="Times New Roman" w:eastAsia="Times New Roman" w:hAnsi="Times New Roman"/>
            <w:color w:val="0000ff"/>
            <w:sz w:val="24"/>
            <w:szCs w:val="24"/>
            <w:u w:val="single"/>
            <w:rtl w:val="0"/>
          </w:rPr>
          <w:t xml:space="preserve">http://nces.ed.gov/pubsearch/pubsinfo.asp?pubid=2008174</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pPr>
        <w:contextualSpacing w:val="0"/>
      </w:pPr>
      <w:r w:rsidDel="00000000" w:rsidR="00000000" w:rsidRPr="00000000">
        <w:rPr>
          <w:rFonts w:ascii="Times New Roman" w:cs="Times New Roman" w:eastAsia="Times New Roman" w:hAnsi="Times New Roman"/>
          <w:sz w:val="24"/>
          <w:szCs w:val="24"/>
          <w:rtl w:val="0"/>
        </w:rPr>
        <w:t xml:space="preserve">National Center for Education Statistics. (2014). </w:t>
      </w:r>
      <w:r w:rsidDel="00000000" w:rsidR="00000000" w:rsidRPr="00000000">
        <w:rPr>
          <w:rFonts w:ascii="Times New Roman" w:cs="Times New Roman" w:eastAsia="Times New Roman" w:hAnsi="Times New Roman"/>
          <w:i w:val="1"/>
          <w:sz w:val="24"/>
          <w:szCs w:val="24"/>
          <w:rtl w:val="0"/>
        </w:rPr>
        <w:t xml:space="preserve">Digest of Education Statistics 2013</w:t>
      </w:r>
      <w:r w:rsidDel="00000000" w:rsidR="00000000" w:rsidRPr="00000000">
        <w:rPr>
          <w:rFonts w:ascii="Times New Roman" w:cs="Times New Roman" w:eastAsia="Times New Roman" w:hAnsi="Times New Roman"/>
          <w:sz w:val="24"/>
          <w:szCs w:val="24"/>
          <w:rtl w:val="0"/>
        </w:rPr>
        <w:t xml:space="preserve">. Washington, DC: Author. Retrieved from </w:t>
      </w:r>
      <w:hyperlink r:id="rId23">
        <w:r w:rsidDel="00000000" w:rsidR="00000000" w:rsidRPr="00000000">
          <w:rPr>
            <w:rFonts w:ascii="Times New Roman" w:cs="Times New Roman" w:eastAsia="Times New Roman" w:hAnsi="Times New Roman"/>
            <w:color w:val="0000ff"/>
            <w:sz w:val="24"/>
            <w:szCs w:val="24"/>
            <w:u w:val="single"/>
            <w:rtl w:val="0"/>
          </w:rPr>
          <w:t xml:space="preserve">http://nces.ed.gov/programs/digest/d14/tables/dt14_317.20.asp</w:t>
        </w:r>
      </w:hyperlink>
    </w:p>
    <w:p w:rsidR="00000000" w:rsidDel="00000000" w:rsidP="00000000" w:rsidRDefault="00000000" w:rsidRPr="00000000">
      <w:pPr>
        <w:contextualSpacing w:val="0"/>
      </w:pPr>
      <w:r w:rsidDel="00000000" w:rsidR="00000000" w:rsidRPr="00000000">
        <w:rPr>
          <w:rFonts w:ascii="Times New Roman" w:cs="Times New Roman" w:eastAsia="Times New Roman" w:hAnsi="Times New Roman"/>
          <w:sz w:val="24"/>
          <w:szCs w:val="24"/>
          <w:rtl w:val="0"/>
        </w:rPr>
        <w:t xml:space="preserve">Neumark, D, Johnson, H., &amp; Mejia, M.C. (2013). Future skill shortages in the U.S. economy? </w:t>
      </w:r>
      <w:r w:rsidDel="00000000" w:rsidR="00000000" w:rsidRPr="00000000">
        <w:rPr>
          <w:rFonts w:ascii="Times New Roman" w:cs="Times New Roman" w:eastAsia="Times New Roman" w:hAnsi="Times New Roman"/>
          <w:i w:val="1"/>
          <w:sz w:val="24"/>
          <w:szCs w:val="24"/>
          <w:rtl w:val="0"/>
        </w:rPr>
        <w:t xml:space="preserve">Economics of Education Review</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i w:val="1"/>
          <w:sz w:val="24"/>
          <w:szCs w:val="24"/>
          <w:rtl w:val="0"/>
        </w:rPr>
        <w:t xml:space="preserve"> 32</w:t>
      </w:r>
      <w:r w:rsidDel="00000000" w:rsidR="00000000" w:rsidRPr="00000000">
        <w:rPr>
          <w:rFonts w:ascii="Times New Roman" w:cs="Times New Roman" w:eastAsia="Times New Roman" w:hAnsi="Times New Roman"/>
          <w:sz w:val="24"/>
          <w:szCs w:val="24"/>
          <w:rtl w:val="0"/>
        </w:rPr>
        <w:t xml:space="preserve">, 121-167.</w:t>
      </w:r>
    </w:p>
    <w:p w:rsidR="00000000" w:rsidDel="00000000" w:rsidP="00000000" w:rsidRDefault="00000000" w:rsidRPr="00000000">
      <w:pPr>
        <w:contextualSpacing w:val="0"/>
      </w:pPr>
      <w:r w:rsidDel="00000000" w:rsidR="00000000" w:rsidRPr="00000000">
        <w:rPr>
          <w:rFonts w:ascii="Times New Roman" w:cs="Times New Roman" w:eastAsia="Times New Roman" w:hAnsi="Times New Roman"/>
          <w:sz w:val="24"/>
          <w:szCs w:val="24"/>
          <w:rtl w:val="0"/>
        </w:rPr>
        <w:t xml:space="preserve">Norrie, K. &amp; Lin, S. (2009). </w:t>
      </w:r>
      <w:r w:rsidDel="00000000" w:rsidR="00000000" w:rsidRPr="00000000">
        <w:rPr>
          <w:rFonts w:ascii="Times New Roman" w:cs="Times New Roman" w:eastAsia="Times New Roman" w:hAnsi="Times New Roman"/>
          <w:i w:val="1"/>
          <w:sz w:val="24"/>
          <w:szCs w:val="24"/>
          <w:rtl w:val="0"/>
        </w:rPr>
        <w:t xml:space="preserve">Postsecondary education attainment and participation in Ontario</w:t>
      </w:r>
      <w:r w:rsidDel="00000000" w:rsidR="00000000" w:rsidRPr="00000000">
        <w:rPr>
          <w:rFonts w:ascii="Times New Roman" w:cs="Times New Roman" w:eastAsia="Times New Roman" w:hAnsi="Times New Roman"/>
          <w:sz w:val="24"/>
          <w:szCs w:val="24"/>
          <w:rtl w:val="0"/>
        </w:rPr>
        <w:t xml:space="preserve">. Toronto: Higher Education Quality Council of Ontario.</w:t>
      </w:r>
    </w:p>
    <w:p w:rsidR="00000000" w:rsidDel="00000000" w:rsidP="00000000" w:rsidRDefault="00000000" w:rsidRPr="00000000">
      <w:pPr>
        <w:contextualSpacing w:val="0"/>
      </w:pPr>
      <w:r w:rsidDel="00000000" w:rsidR="00000000" w:rsidRPr="00000000">
        <w:rPr>
          <w:rFonts w:ascii="Times New Roman" w:cs="Times New Roman" w:eastAsia="Times New Roman" w:hAnsi="Times New Roman"/>
          <w:sz w:val="24"/>
          <w:szCs w:val="24"/>
          <w:rtl w:val="0"/>
        </w:rPr>
        <w:t xml:space="preserve">OECD. (1999). </w:t>
      </w:r>
      <w:r w:rsidDel="00000000" w:rsidR="00000000" w:rsidRPr="00000000">
        <w:rPr>
          <w:rFonts w:ascii="Times New Roman" w:cs="Times New Roman" w:eastAsia="Times New Roman" w:hAnsi="Times New Roman"/>
          <w:i w:val="1"/>
          <w:sz w:val="24"/>
          <w:szCs w:val="24"/>
          <w:rtl w:val="0"/>
        </w:rPr>
        <w:t xml:space="preserve">Classifying educational programs: Manual for ISCED-97 implementation in OECD countries, 1999 edition</w:t>
      </w:r>
      <w:r w:rsidDel="00000000" w:rsidR="00000000" w:rsidRPr="00000000">
        <w:rPr>
          <w:rFonts w:ascii="Times New Roman" w:cs="Times New Roman" w:eastAsia="Times New Roman" w:hAnsi="Times New Roman"/>
          <w:sz w:val="24"/>
          <w:szCs w:val="24"/>
          <w:rtl w:val="0"/>
        </w:rPr>
        <w:t xml:space="preserve">. Paris: OECD Publishing. </w:t>
      </w:r>
    </w:p>
    <w:p w:rsidR="00000000" w:rsidDel="00000000" w:rsidP="00000000" w:rsidRDefault="00000000" w:rsidRPr="00000000">
      <w:pPr>
        <w:contextualSpacing w:val="0"/>
      </w:pPr>
      <w:r w:rsidDel="00000000" w:rsidR="00000000" w:rsidRPr="00000000">
        <w:rPr>
          <w:rFonts w:ascii="Times New Roman" w:cs="Times New Roman" w:eastAsia="Times New Roman" w:hAnsi="Times New Roman"/>
          <w:sz w:val="24"/>
          <w:szCs w:val="24"/>
          <w:rtl w:val="0"/>
        </w:rPr>
        <w:t xml:space="preserve">OECD. (2001). </w:t>
      </w:r>
      <w:r w:rsidDel="00000000" w:rsidR="00000000" w:rsidRPr="00000000">
        <w:rPr>
          <w:rFonts w:ascii="Times New Roman" w:cs="Times New Roman" w:eastAsia="Times New Roman" w:hAnsi="Times New Roman"/>
          <w:i w:val="1"/>
          <w:sz w:val="24"/>
          <w:szCs w:val="24"/>
          <w:rtl w:val="0"/>
        </w:rPr>
        <w:t xml:space="preserve">Education at a glance 2001: OECD Indicators</w:t>
      </w:r>
      <w:r w:rsidDel="00000000" w:rsidR="00000000" w:rsidRPr="00000000">
        <w:rPr>
          <w:rFonts w:ascii="Times New Roman" w:cs="Times New Roman" w:eastAsia="Times New Roman" w:hAnsi="Times New Roman"/>
          <w:sz w:val="24"/>
          <w:szCs w:val="24"/>
          <w:rtl w:val="0"/>
        </w:rPr>
        <w:t xml:space="preserve">. Paris: OECD Publishing. </w:t>
      </w:r>
    </w:p>
    <w:p w:rsidR="00000000" w:rsidDel="00000000" w:rsidP="00000000" w:rsidRDefault="00000000" w:rsidRPr="00000000">
      <w:pPr>
        <w:contextualSpacing w:val="0"/>
      </w:pPr>
      <w:r w:rsidDel="00000000" w:rsidR="00000000" w:rsidRPr="00000000">
        <w:rPr>
          <w:rFonts w:ascii="Times New Roman" w:cs="Times New Roman" w:eastAsia="Times New Roman" w:hAnsi="Times New Roman"/>
          <w:sz w:val="24"/>
          <w:szCs w:val="24"/>
          <w:rtl w:val="0"/>
        </w:rPr>
        <w:t xml:space="preserve">OECD. (2004). </w:t>
      </w:r>
      <w:r w:rsidDel="00000000" w:rsidR="00000000" w:rsidRPr="00000000">
        <w:rPr>
          <w:rFonts w:ascii="Times New Roman" w:cs="Times New Roman" w:eastAsia="Times New Roman" w:hAnsi="Times New Roman"/>
          <w:i w:val="1"/>
          <w:sz w:val="24"/>
          <w:szCs w:val="24"/>
          <w:rtl w:val="0"/>
        </w:rPr>
        <w:t xml:space="preserve">Education at a glance 2004: OECD Indicators</w:t>
      </w:r>
      <w:r w:rsidDel="00000000" w:rsidR="00000000" w:rsidRPr="00000000">
        <w:rPr>
          <w:rFonts w:ascii="Times New Roman" w:cs="Times New Roman" w:eastAsia="Times New Roman" w:hAnsi="Times New Roman"/>
          <w:sz w:val="24"/>
          <w:szCs w:val="24"/>
          <w:rtl w:val="0"/>
        </w:rPr>
        <w:t xml:space="preserve">. Paris: OECD Publishing. </w:t>
      </w:r>
    </w:p>
    <w:p w:rsidR="00000000" w:rsidDel="00000000" w:rsidP="00000000" w:rsidRDefault="00000000" w:rsidRPr="00000000">
      <w:pPr>
        <w:contextualSpacing w:val="0"/>
      </w:pPr>
      <w:r w:rsidDel="00000000" w:rsidR="00000000" w:rsidRPr="00000000">
        <w:rPr>
          <w:rFonts w:ascii="Times New Roman" w:cs="Times New Roman" w:eastAsia="Times New Roman" w:hAnsi="Times New Roman"/>
          <w:sz w:val="24"/>
          <w:szCs w:val="24"/>
          <w:rtl w:val="0"/>
        </w:rPr>
        <w:t xml:space="preserve">OECD. (2012). </w:t>
      </w:r>
      <w:r w:rsidDel="00000000" w:rsidR="00000000" w:rsidRPr="00000000">
        <w:rPr>
          <w:rFonts w:ascii="Times New Roman" w:cs="Times New Roman" w:eastAsia="Times New Roman" w:hAnsi="Times New Roman"/>
          <w:i w:val="1"/>
          <w:sz w:val="24"/>
          <w:szCs w:val="24"/>
          <w:rtl w:val="0"/>
        </w:rPr>
        <w:t xml:space="preserve">OECD economic surveys: Canada 2012. Paris: OECD Publishing</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pPr>
        <w:contextualSpacing w:val="0"/>
      </w:pPr>
      <w:r w:rsidDel="00000000" w:rsidR="00000000" w:rsidRPr="00000000">
        <w:rPr>
          <w:rFonts w:ascii="Times New Roman" w:cs="Times New Roman" w:eastAsia="Times New Roman" w:hAnsi="Times New Roman"/>
          <w:sz w:val="24"/>
          <w:szCs w:val="24"/>
          <w:rtl w:val="0"/>
        </w:rPr>
        <w:t xml:space="preserve">OECD. (2014a). </w:t>
      </w:r>
      <w:r w:rsidDel="00000000" w:rsidR="00000000" w:rsidRPr="00000000">
        <w:rPr>
          <w:rFonts w:ascii="Times New Roman" w:cs="Times New Roman" w:eastAsia="Times New Roman" w:hAnsi="Times New Roman"/>
          <w:i w:val="1"/>
          <w:sz w:val="24"/>
          <w:szCs w:val="24"/>
          <w:rtl w:val="0"/>
        </w:rPr>
        <w:t xml:space="preserve">Education at a glance 2014: OECD Indicators</w:t>
      </w:r>
      <w:r w:rsidDel="00000000" w:rsidR="00000000" w:rsidRPr="00000000">
        <w:rPr>
          <w:rFonts w:ascii="Times New Roman" w:cs="Times New Roman" w:eastAsia="Times New Roman" w:hAnsi="Times New Roman"/>
          <w:sz w:val="24"/>
          <w:szCs w:val="24"/>
          <w:rtl w:val="0"/>
        </w:rPr>
        <w:t xml:space="preserve">. Paris: OECD Publishing. </w:t>
      </w:r>
    </w:p>
    <w:p w:rsidR="00000000" w:rsidDel="00000000" w:rsidP="00000000" w:rsidRDefault="00000000" w:rsidRPr="00000000">
      <w:pPr>
        <w:contextualSpacing w:val="0"/>
      </w:pPr>
      <w:r w:rsidDel="00000000" w:rsidR="00000000" w:rsidRPr="00000000">
        <w:rPr>
          <w:rFonts w:ascii="Times New Roman" w:cs="Times New Roman" w:eastAsia="Times New Roman" w:hAnsi="Times New Roman"/>
          <w:sz w:val="24"/>
          <w:szCs w:val="24"/>
          <w:rtl w:val="0"/>
        </w:rPr>
        <w:t xml:space="preserve">OECD. (2014b). Educational attainment by gender and average years spent in formal education.  Retrieved from </w:t>
      </w:r>
      <w:hyperlink r:id="rId24">
        <w:r w:rsidDel="00000000" w:rsidR="00000000" w:rsidRPr="00000000">
          <w:rPr>
            <w:rFonts w:ascii="Times New Roman" w:cs="Times New Roman" w:eastAsia="Times New Roman" w:hAnsi="Times New Roman"/>
            <w:color w:val="0000ff"/>
            <w:sz w:val="24"/>
            <w:szCs w:val="24"/>
            <w:u w:val="single"/>
            <w:rtl w:val="0"/>
          </w:rPr>
          <w:t xml:space="preserve">http://www.oecd.org/els/family/CO_3_1_Educational_attainment_by_gender_Sep2014.pdf</w:t>
        </w:r>
      </w:hyperlink>
      <w:hyperlink r:id="rId25">
        <w:r w:rsidDel="00000000" w:rsidR="00000000" w:rsidRPr="00000000">
          <w:rPr>
            <w:rtl w:val="0"/>
          </w:rPr>
        </w:r>
      </w:hyperlink>
    </w:p>
    <w:p w:rsidR="00000000" w:rsidDel="00000000" w:rsidP="00000000" w:rsidRDefault="00000000" w:rsidRPr="00000000">
      <w:pPr>
        <w:contextualSpacing w:val="0"/>
      </w:pPr>
      <w:r w:rsidDel="00000000" w:rsidR="00000000" w:rsidRPr="00000000">
        <w:rPr>
          <w:rFonts w:ascii="Times New Roman" w:cs="Times New Roman" w:eastAsia="Times New Roman" w:hAnsi="Times New Roman"/>
          <w:sz w:val="24"/>
          <w:szCs w:val="24"/>
          <w:rtl w:val="0"/>
        </w:rPr>
        <w:t xml:space="preserve">OECD. (2015). OECD compendium of productivity indicators. Retrieved from </w:t>
      </w:r>
      <w:hyperlink r:id="rId26">
        <w:r w:rsidDel="00000000" w:rsidR="00000000" w:rsidRPr="00000000">
          <w:rPr>
            <w:rFonts w:ascii="Times New Roman" w:cs="Times New Roman" w:eastAsia="Times New Roman" w:hAnsi="Times New Roman"/>
            <w:color w:val="0000ff"/>
            <w:sz w:val="24"/>
            <w:szCs w:val="24"/>
            <w:u w:val="single"/>
            <w:rtl w:val="0"/>
          </w:rPr>
          <w:t xml:space="preserve">http://www.oecd.org/std/productivity-stats/oecd-compendium-of-productivity-indicators-22252126.htm</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pPr>
        <w:contextualSpacing w:val="0"/>
      </w:pPr>
      <w:r w:rsidDel="00000000" w:rsidR="00000000" w:rsidRPr="00000000">
        <w:rPr>
          <w:rFonts w:ascii="Times New Roman" w:cs="Times New Roman" w:eastAsia="Times New Roman" w:hAnsi="Times New Roman"/>
          <w:sz w:val="24"/>
          <w:szCs w:val="24"/>
          <w:rtl w:val="0"/>
        </w:rPr>
        <w:t xml:space="preserve">OECD.Stat. (2015). Growth in GDP per capita, productivity and unit labor costs. Retrieved from </w:t>
      </w:r>
      <w:hyperlink r:id="rId27">
        <w:r w:rsidDel="00000000" w:rsidR="00000000" w:rsidRPr="00000000">
          <w:rPr>
            <w:rFonts w:ascii="Times New Roman" w:cs="Times New Roman" w:eastAsia="Times New Roman" w:hAnsi="Times New Roman"/>
            <w:color w:val="0000ff"/>
            <w:sz w:val="24"/>
            <w:szCs w:val="24"/>
            <w:u w:val="single"/>
            <w:rtl w:val="0"/>
          </w:rPr>
          <w:t xml:space="preserve">http://stats.oecd.org/Index.aspx?DataSetCode=PDB_LV</w:t>
        </w:r>
      </w:hyperlink>
      <w:hyperlink r:id="rId28">
        <w:r w:rsidDel="00000000" w:rsidR="00000000" w:rsidRPr="00000000">
          <w:rPr>
            <w:rtl w:val="0"/>
          </w:rPr>
        </w:r>
      </w:hyperlink>
    </w:p>
    <w:p w:rsidR="00000000" w:rsidDel="00000000" w:rsidP="00000000" w:rsidRDefault="00000000" w:rsidRPr="00000000">
      <w:pPr>
        <w:contextualSpacing w:val="0"/>
      </w:pPr>
      <w:r w:rsidDel="00000000" w:rsidR="00000000" w:rsidRPr="00000000">
        <w:rPr>
          <w:rFonts w:ascii="Times New Roman" w:cs="Times New Roman" w:eastAsia="Times New Roman" w:hAnsi="Times New Roman"/>
          <w:sz w:val="24"/>
          <w:szCs w:val="24"/>
          <w:rtl w:val="0"/>
        </w:rPr>
        <w:t xml:space="preserve">Pell Institute for the Study of Economic Opportunity. (2011). </w:t>
      </w:r>
      <w:r w:rsidDel="00000000" w:rsidR="00000000" w:rsidRPr="00000000">
        <w:rPr>
          <w:rFonts w:ascii="Times New Roman" w:cs="Times New Roman" w:eastAsia="Times New Roman" w:hAnsi="Times New Roman"/>
          <w:i w:val="1"/>
          <w:sz w:val="24"/>
          <w:szCs w:val="24"/>
          <w:rtl w:val="0"/>
        </w:rPr>
        <w:t xml:space="preserve">Developing 20/20 vision on the 2020 degree attainment goal</w:t>
      </w:r>
      <w:r w:rsidDel="00000000" w:rsidR="00000000" w:rsidRPr="00000000">
        <w:rPr>
          <w:rFonts w:ascii="Times New Roman" w:cs="Times New Roman" w:eastAsia="Times New Roman" w:hAnsi="Times New Roman"/>
          <w:sz w:val="24"/>
          <w:szCs w:val="24"/>
          <w:rtl w:val="0"/>
        </w:rPr>
        <w:t xml:space="preserve">. Washington, DC: Author. Retrieved from </w:t>
      </w:r>
      <w:hyperlink r:id="rId29">
        <w:r w:rsidDel="00000000" w:rsidR="00000000" w:rsidRPr="00000000">
          <w:rPr>
            <w:rFonts w:ascii="Times New Roman" w:cs="Times New Roman" w:eastAsia="Times New Roman" w:hAnsi="Times New Roman"/>
            <w:color w:val="0000ff"/>
            <w:sz w:val="24"/>
            <w:szCs w:val="24"/>
            <w:u w:val="single"/>
            <w:rtl w:val="0"/>
          </w:rPr>
          <w:t xml:space="preserve">http://www.pellinstitute.org/downloads/publications-Developing_2020_Vision_May_2011.pdf</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pPr>
        <w:contextualSpacing w:val="0"/>
      </w:pPr>
      <w:r w:rsidDel="00000000" w:rsidR="00000000" w:rsidRPr="00000000">
        <w:rPr>
          <w:rFonts w:ascii="Times New Roman" w:cs="Times New Roman" w:eastAsia="Times New Roman" w:hAnsi="Times New Roman"/>
          <w:sz w:val="24"/>
          <w:szCs w:val="24"/>
          <w:rtl w:val="0"/>
        </w:rPr>
        <w:t xml:space="preserve">Pratt, J. (1997). </w:t>
      </w:r>
      <w:r w:rsidDel="00000000" w:rsidR="00000000" w:rsidRPr="00000000">
        <w:rPr>
          <w:rFonts w:ascii="Times New Roman" w:cs="Times New Roman" w:eastAsia="Times New Roman" w:hAnsi="Times New Roman"/>
          <w:i w:val="1"/>
          <w:sz w:val="24"/>
          <w:szCs w:val="24"/>
          <w:rtl w:val="0"/>
        </w:rPr>
        <w:t xml:space="preserve">The polytechnic experiment</w:t>
      </w:r>
      <w:r w:rsidDel="00000000" w:rsidR="00000000" w:rsidRPr="00000000">
        <w:rPr>
          <w:rFonts w:ascii="Times New Roman" w:cs="Times New Roman" w:eastAsia="Times New Roman" w:hAnsi="Times New Roman"/>
          <w:sz w:val="24"/>
          <w:szCs w:val="24"/>
          <w:rtl w:val="0"/>
        </w:rPr>
        <w:t xml:space="preserve">. Buckingham: The Society for Research into Higher Education &amp; Open University Press.</w:t>
      </w:r>
    </w:p>
    <w:p w:rsidR="00000000" w:rsidDel="00000000" w:rsidP="00000000" w:rsidRDefault="00000000" w:rsidRPr="00000000">
      <w:pPr>
        <w:contextualSpacing w:val="0"/>
      </w:pPr>
      <w:r w:rsidDel="00000000" w:rsidR="00000000" w:rsidRPr="00000000">
        <w:rPr>
          <w:rFonts w:ascii="Times New Roman" w:cs="Times New Roman" w:eastAsia="Times New Roman" w:hAnsi="Times New Roman"/>
          <w:sz w:val="24"/>
          <w:szCs w:val="24"/>
          <w:rtl w:val="0"/>
        </w:rPr>
        <w:t xml:space="preserve">Russell, A.B. (2013). Update on the community college baccalaureate. In N Remington &amp; R. Remington (Eds.), </w:t>
      </w:r>
      <w:r w:rsidDel="00000000" w:rsidR="00000000" w:rsidRPr="00000000">
        <w:rPr>
          <w:rFonts w:ascii="Times New Roman" w:cs="Times New Roman" w:eastAsia="Times New Roman" w:hAnsi="Times New Roman"/>
          <w:i w:val="1"/>
          <w:sz w:val="24"/>
          <w:szCs w:val="24"/>
          <w:rtl w:val="0"/>
        </w:rPr>
        <w:t xml:space="preserve">Alternative pathways to the baccalaureate</w:t>
      </w:r>
      <w:r w:rsidDel="00000000" w:rsidR="00000000" w:rsidRPr="00000000">
        <w:rPr>
          <w:rFonts w:ascii="Times New Roman" w:cs="Times New Roman" w:eastAsia="Times New Roman" w:hAnsi="Times New Roman"/>
          <w:sz w:val="24"/>
          <w:szCs w:val="24"/>
          <w:rtl w:val="0"/>
        </w:rPr>
        <w:t xml:space="preserve"> (pp. 67-84). Sterling, VA: Stylus Publishing, LLC.</w:t>
      </w:r>
    </w:p>
    <w:p w:rsidR="00000000" w:rsidDel="00000000" w:rsidP="00000000" w:rsidRDefault="00000000" w:rsidRPr="00000000">
      <w:pPr>
        <w:contextualSpacing w:val="0"/>
      </w:pPr>
      <w:r w:rsidDel="00000000" w:rsidR="00000000" w:rsidRPr="00000000">
        <w:rPr>
          <w:rFonts w:ascii="Times New Roman" w:cs="Times New Roman" w:eastAsia="Times New Roman" w:hAnsi="Times New Roman"/>
          <w:color w:val="555555"/>
          <w:sz w:val="24"/>
          <w:szCs w:val="24"/>
          <w:shd w:fill="fdfdfd" w:val="clear"/>
          <w:rtl w:val="0"/>
        </w:rPr>
        <w:t xml:space="preserve">Shapiro, D., Dundar, A., Ziskin, M., Chiang, Y., Chen, J., Torres, V., &amp; Harrell, A. (2013). </w:t>
      </w:r>
      <w:r w:rsidDel="00000000" w:rsidR="00000000" w:rsidRPr="00000000">
        <w:rPr>
          <w:rFonts w:ascii="Times New Roman" w:cs="Times New Roman" w:eastAsia="Times New Roman" w:hAnsi="Times New Roman"/>
          <w:i w:val="1"/>
          <w:color w:val="555555"/>
          <w:sz w:val="24"/>
          <w:szCs w:val="24"/>
          <w:shd w:fill="fdfdfd" w:val="clear"/>
          <w:rtl w:val="0"/>
        </w:rPr>
        <w:t xml:space="preserve">Baccalaureate attainment: A national view of the postsecondary outcomes of students who transfer from two-year to four-year institutions</w:t>
      </w:r>
      <w:r w:rsidDel="00000000" w:rsidR="00000000" w:rsidRPr="00000000">
        <w:rPr>
          <w:rFonts w:ascii="Times New Roman" w:cs="Times New Roman" w:eastAsia="Times New Roman" w:hAnsi="Times New Roman"/>
          <w:color w:val="555555"/>
          <w:sz w:val="24"/>
          <w:szCs w:val="24"/>
          <w:shd w:fill="fdfdfd" w:val="clear"/>
          <w:rtl w:val="0"/>
        </w:rPr>
        <w:t xml:space="preserve"> (Signature Report No. 5). Herndon, VA: National Student Clearinghouse Research Center.</w:t>
      </w:r>
    </w:p>
    <w:p w:rsidR="00000000" w:rsidDel="00000000" w:rsidP="00000000" w:rsidRDefault="00000000" w:rsidRPr="00000000">
      <w:pPr>
        <w:contextualSpacing w:val="0"/>
      </w:pPr>
      <w:r w:rsidDel="00000000" w:rsidR="00000000" w:rsidRPr="00000000">
        <w:rPr>
          <w:rFonts w:ascii="Times New Roman" w:cs="Times New Roman" w:eastAsia="Times New Roman" w:hAnsi="Times New Roman"/>
          <w:color w:val="555555"/>
          <w:sz w:val="24"/>
          <w:szCs w:val="24"/>
          <w:shd w:fill="fdfdfd" w:val="clear"/>
          <w:rtl w:val="0"/>
        </w:rPr>
        <w:t xml:space="preserve">Sharma, Y. (2014, June 12). China: Major reform as 600 universities become polytechnics. </w:t>
      </w:r>
      <w:r w:rsidDel="00000000" w:rsidR="00000000" w:rsidRPr="00000000">
        <w:rPr>
          <w:rFonts w:ascii="Times New Roman" w:cs="Times New Roman" w:eastAsia="Times New Roman" w:hAnsi="Times New Roman"/>
          <w:i w:val="1"/>
          <w:color w:val="555555"/>
          <w:sz w:val="24"/>
          <w:szCs w:val="24"/>
          <w:shd w:fill="fdfdfd" w:val="clear"/>
          <w:rtl w:val="0"/>
        </w:rPr>
        <w:t xml:space="preserve">University World News</w:t>
      </w:r>
      <w:r w:rsidDel="00000000" w:rsidR="00000000" w:rsidRPr="00000000">
        <w:rPr>
          <w:rFonts w:ascii="Times New Roman" w:cs="Times New Roman" w:eastAsia="Times New Roman" w:hAnsi="Times New Roman"/>
          <w:color w:val="555555"/>
          <w:sz w:val="24"/>
          <w:szCs w:val="24"/>
          <w:shd w:fill="fdfdfd" w:val="clear"/>
          <w:rtl w:val="0"/>
        </w:rPr>
        <w:t xml:space="preserve">. Retrieved from </w:t>
      </w:r>
      <w:hyperlink r:id="rId30">
        <w:r w:rsidDel="00000000" w:rsidR="00000000" w:rsidRPr="00000000">
          <w:rPr>
            <w:rFonts w:ascii="Times New Roman" w:cs="Times New Roman" w:eastAsia="Times New Roman" w:hAnsi="Times New Roman"/>
            <w:color w:val="000000"/>
            <w:sz w:val="24"/>
            <w:szCs w:val="24"/>
            <w:u w:val="single"/>
            <w:shd w:fill="fdfdfd" w:val="clear"/>
            <w:rtl w:val="0"/>
          </w:rPr>
          <w:t xml:space="preserve">http://www.universityworldnews.com/article.php?story=20140612080509913</w:t>
        </w:r>
      </w:hyperlink>
      <w:r w:rsidDel="00000000" w:rsidR="00000000" w:rsidRPr="00000000">
        <w:rPr>
          <w:rFonts w:ascii="Times New Roman" w:cs="Times New Roman" w:eastAsia="Times New Roman" w:hAnsi="Times New Roman"/>
          <w:color w:val="555555"/>
          <w:sz w:val="24"/>
          <w:szCs w:val="24"/>
          <w:shd w:fill="fdfdfd" w:val="clear"/>
          <w:rtl w:val="0"/>
        </w:rPr>
        <w:t xml:space="preserve"> </w:t>
      </w:r>
    </w:p>
    <w:p w:rsidR="00000000" w:rsidDel="00000000" w:rsidP="00000000" w:rsidRDefault="00000000" w:rsidRPr="00000000">
      <w:pPr>
        <w:contextualSpacing w:val="0"/>
      </w:pPr>
      <w:r w:rsidDel="00000000" w:rsidR="00000000" w:rsidRPr="00000000">
        <w:rPr>
          <w:rFonts w:ascii="Times New Roman" w:cs="Times New Roman" w:eastAsia="Times New Roman" w:hAnsi="Times New Roman"/>
          <w:color w:val="231f20"/>
          <w:sz w:val="24"/>
          <w:szCs w:val="24"/>
          <w:rtl w:val="0"/>
        </w:rPr>
        <w:t xml:space="preserve">Skolnik, M. L. (2009). Theorizing about the emergence of the community college</w:t>
      </w:r>
    </w:p>
    <w:p w:rsidR="00000000" w:rsidDel="00000000" w:rsidP="00000000" w:rsidRDefault="00000000" w:rsidRPr="00000000">
      <w:pPr>
        <w:ind w:left="0" w:firstLine="720"/>
        <w:contextualSpacing w:val="0"/>
      </w:pPr>
      <w:r w:rsidDel="00000000" w:rsidR="00000000" w:rsidRPr="00000000">
        <w:rPr>
          <w:rFonts w:ascii="Times New Roman" w:cs="Times New Roman" w:eastAsia="Times New Roman" w:hAnsi="Times New Roman"/>
          <w:color w:val="231f20"/>
          <w:sz w:val="24"/>
          <w:szCs w:val="24"/>
          <w:rtl w:val="0"/>
        </w:rPr>
        <w:t xml:space="preserve">Baccalaureate. </w:t>
      </w:r>
      <w:r w:rsidDel="00000000" w:rsidR="00000000" w:rsidRPr="00000000">
        <w:rPr>
          <w:rFonts w:ascii="Times New Roman" w:cs="Times New Roman" w:eastAsia="Times New Roman" w:hAnsi="Times New Roman"/>
          <w:i w:val="1"/>
          <w:color w:val="231f20"/>
          <w:sz w:val="24"/>
          <w:szCs w:val="24"/>
          <w:rtl w:val="0"/>
        </w:rPr>
        <w:t xml:space="preserve">Community College Journal of Research and Practice, 33</w:t>
      </w:r>
      <w:r w:rsidDel="00000000" w:rsidR="00000000" w:rsidRPr="00000000">
        <w:rPr>
          <w:rFonts w:ascii="Times New Roman" w:cs="Times New Roman" w:eastAsia="Times New Roman" w:hAnsi="Times New Roman"/>
          <w:color w:val="231f20"/>
          <w:sz w:val="24"/>
          <w:szCs w:val="24"/>
          <w:rtl w:val="0"/>
        </w:rPr>
        <w:t xml:space="preserve">(2), 125–150.</w:t>
      </w:r>
    </w:p>
    <w:p w:rsidR="00000000" w:rsidDel="00000000" w:rsidP="00000000" w:rsidRDefault="00000000" w:rsidRPr="00000000">
      <w:pPr>
        <w:contextualSpacing w:val="0"/>
      </w:pPr>
      <w:r w:rsidDel="00000000" w:rsidR="00000000" w:rsidRPr="00000000">
        <w:rPr>
          <w:rFonts w:ascii="Times New Roman" w:cs="Times New Roman" w:eastAsia="Times New Roman" w:hAnsi="Times New Roman"/>
          <w:color w:val="231f20"/>
          <w:sz w:val="24"/>
          <w:szCs w:val="24"/>
          <w:rtl w:val="0"/>
        </w:rPr>
        <w:t xml:space="preserve">Skolnik, M.L. (2015). How do quality assurance systems accommodate the differences between academic and applied higher education? </w:t>
      </w:r>
      <w:r w:rsidDel="00000000" w:rsidR="00000000" w:rsidRPr="00000000">
        <w:rPr>
          <w:rFonts w:ascii="Times New Roman" w:cs="Times New Roman" w:eastAsia="Times New Roman" w:hAnsi="Times New Roman"/>
          <w:i w:val="1"/>
          <w:color w:val="231f20"/>
          <w:sz w:val="24"/>
          <w:szCs w:val="24"/>
          <w:rtl w:val="0"/>
        </w:rPr>
        <w:t xml:space="preserve">Higher Education</w:t>
      </w:r>
      <w:r w:rsidDel="00000000" w:rsidR="00000000" w:rsidRPr="00000000">
        <w:rPr>
          <w:rFonts w:ascii="Times New Roman" w:cs="Times New Roman" w:eastAsia="Times New Roman" w:hAnsi="Times New Roman"/>
          <w:color w:val="231f20"/>
          <w:sz w:val="24"/>
          <w:szCs w:val="24"/>
          <w:rtl w:val="0"/>
        </w:rPr>
        <w:t xml:space="preserve">. Advance online publication. doi: 10.1007/s10734-015-9908-4</w:t>
      </w:r>
    </w:p>
    <w:p w:rsidR="00000000" w:rsidDel="00000000" w:rsidP="00000000" w:rsidRDefault="00000000" w:rsidRPr="00000000">
      <w:pPr>
        <w:contextualSpacing w:val="0"/>
      </w:pPr>
      <w:r w:rsidDel="00000000" w:rsidR="00000000" w:rsidRPr="00000000">
        <w:rPr>
          <w:rFonts w:ascii="Times New Roman" w:cs="Times New Roman" w:eastAsia="Times New Roman" w:hAnsi="Times New Roman"/>
          <w:sz w:val="24"/>
          <w:szCs w:val="24"/>
          <w:rtl w:val="0"/>
        </w:rPr>
        <w:t xml:space="preserve">Slantcheva-Durst, S. (2010). Redefining short-cycle higher education across Europe: The challenges of Bologna. </w:t>
      </w:r>
      <w:r w:rsidDel="00000000" w:rsidR="00000000" w:rsidRPr="00000000">
        <w:rPr>
          <w:rFonts w:ascii="Times New Roman" w:cs="Times New Roman" w:eastAsia="Times New Roman" w:hAnsi="Times New Roman"/>
          <w:i w:val="1"/>
          <w:sz w:val="24"/>
          <w:szCs w:val="24"/>
          <w:rtl w:val="0"/>
        </w:rPr>
        <w:t xml:space="preserve">Community College Review</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38</w:t>
      </w:r>
      <w:r w:rsidDel="00000000" w:rsidR="00000000" w:rsidRPr="00000000">
        <w:rPr>
          <w:rFonts w:ascii="Times New Roman" w:cs="Times New Roman" w:eastAsia="Times New Roman" w:hAnsi="Times New Roman"/>
          <w:sz w:val="24"/>
          <w:szCs w:val="24"/>
          <w:rtl w:val="0"/>
        </w:rPr>
        <w:t xml:space="preserve">(2), 111-32.</w:t>
      </w:r>
    </w:p>
    <w:p w:rsidR="00000000" w:rsidDel="00000000" w:rsidP="00000000" w:rsidRDefault="00000000" w:rsidRPr="00000000">
      <w:pPr>
        <w:contextualSpacing w:val="0"/>
      </w:pPr>
      <w:r w:rsidDel="00000000" w:rsidR="00000000" w:rsidRPr="00000000">
        <w:rPr>
          <w:rFonts w:ascii="Times New Roman" w:cs="Times New Roman" w:eastAsia="Times New Roman" w:hAnsi="Times New Roman"/>
          <w:sz w:val="24"/>
          <w:szCs w:val="24"/>
          <w:rtl w:val="0"/>
        </w:rPr>
        <w:t xml:space="preserve">Statistics Finland. (2014a). Completed polytechnic degrees by type of education, fields of education. </w:t>
        <w:br w:type="textWrapping"/>
        <w:t xml:space="preserve">Retrieved from </w:t>
      </w:r>
      <w:hyperlink r:id="rId31">
        <w:r w:rsidDel="00000000" w:rsidR="00000000" w:rsidRPr="00000000">
          <w:rPr>
            <w:rFonts w:ascii="Times New Roman" w:cs="Times New Roman" w:eastAsia="Times New Roman" w:hAnsi="Times New Roman"/>
            <w:color w:val="0000ff"/>
            <w:sz w:val="24"/>
            <w:szCs w:val="24"/>
            <w:u w:val="single"/>
            <w:rtl w:val="0"/>
          </w:rPr>
          <w:t xml:space="preserve">http://www.stat.fi/til/akop/2014/akop_2014_2015-04-16_tau_001_en.html</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pPr>
        <w:contextualSpacing w:val="0"/>
      </w:pPr>
      <w:r w:rsidDel="00000000" w:rsidR="00000000" w:rsidRPr="00000000">
        <w:rPr>
          <w:rFonts w:ascii="Times New Roman" w:cs="Times New Roman" w:eastAsia="Times New Roman" w:hAnsi="Times New Roman"/>
          <w:sz w:val="24"/>
          <w:szCs w:val="24"/>
          <w:rtl w:val="0"/>
        </w:rPr>
        <w:t xml:space="preserve">Statistics Finland. (2014b). Students in universities and completed university degrees by field of education. Retrieved from </w:t>
      </w:r>
      <w:hyperlink r:id="rId32">
        <w:r w:rsidDel="00000000" w:rsidR="00000000" w:rsidRPr="00000000">
          <w:rPr>
            <w:rFonts w:ascii="Times New Roman" w:cs="Times New Roman" w:eastAsia="Times New Roman" w:hAnsi="Times New Roman"/>
            <w:color w:val="0000ff"/>
            <w:sz w:val="24"/>
            <w:szCs w:val="24"/>
            <w:u w:val="single"/>
            <w:rtl w:val="0"/>
          </w:rPr>
          <w:t xml:space="preserve">http://www.stat.fi/til/yop/2014/yop_2014_2015-05-06_tau_001_en.html</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pPr>
        <w:contextualSpacing w:val="0"/>
      </w:pPr>
      <w:r w:rsidDel="00000000" w:rsidR="00000000" w:rsidRPr="00000000">
        <w:rPr>
          <w:rFonts w:ascii="Times New Roman" w:cs="Times New Roman" w:eastAsia="Times New Roman" w:hAnsi="Times New Roman"/>
          <w:sz w:val="24"/>
          <w:szCs w:val="24"/>
          <w:rtl w:val="0"/>
        </w:rPr>
        <w:t xml:space="preserve">Taylor, J.S., Ferreira, J.B., Machado, M.D.L., &amp; Santiago, R. (2008). </w:t>
      </w:r>
      <w:r w:rsidDel="00000000" w:rsidR="00000000" w:rsidRPr="00000000">
        <w:rPr>
          <w:rFonts w:ascii="Times New Roman" w:cs="Times New Roman" w:eastAsia="Times New Roman" w:hAnsi="Times New Roman"/>
          <w:i w:val="1"/>
          <w:sz w:val="24"/>
          <w:szCs w:val="24"/>
          <w:rtl w:val="0"/>
        </w:rPr>
        <w:t xml:space="preserve">Non-University Higher Education in Europe</w:t>
      </w:r>
      <w:r w:rsidDel="00000000" w:rsidR="00000000" w:rsidRPr="00000000">
        <w:rPr>
          <w:rFonts w:ascii="Times New Roman" w:cs="Times New Roman" w:eastAsia="Times New Roman" w:hAnsi="Times New Roman"/>
          <w:sz w:val="24"/>
          <w:szCs w:val="24"/>
          <w:rtl w:val="0"/>
        </w:rPr>
        <w:t xml:space="preserve">. Dordrecht: Springer.</w:t>
      </w:r>
    </w:p>
    <w:p w:rsidR="00000000" w:rsidDel="00000000" w:rsidP="00000000" w:rsidRDefault="00000000" w:rsidRPr="00000000">
      <w:pPr>
        <w:contextualSpacing w:val="0"/>
      </w:pPr>
      <w:r w:rsidDel="00000000" w:rsidR="00000000" w:rsidRPr="00000000">
        <w:rPr>
          <w:rFonts w:ascii="Times New Roman" w:cs="Times New Roman" w:eastAsia="Times New Roman" w:hAnsi="Times New Roman"/>
          <w:sz w:val="24"/>
          <w:szCs w:val="24"/>
          <w:rtl w:val="0"/>
        </w:rPr>
        <w:t xml:space="preserve">Townsend, B.K. (2002). Terminal students do transfer. A paper presented at the annual meeting of the American Association of Community Colleges, Seattle, Washington, April 23.</w:t>
      </w:r>
    </w:p>
    <w:p w:rsidR="00000000" w:rsidDel="00000000" w:rsidP="00000000" w:rsidRDefault="00000000" w:rsidRPr="00000000">
      <w:pPr>
        <w:contextualSpacing w:val="0"/>
      </w:pPr>
      <w:r w:rsidDel="00000000" w:rsidR="00000000" w:rsidRPr="00000000">
        <w:rPr>
          <w:rFonts w:ascii="Times New Roman" w:cs="Times New Roman" w:eastAsia="Times New Roman" w:hAnsi="Times New Roman"/>
          <w:sz w:val="24"/>
          <w:szCs w:val="24"/>
          <w:rtl w:val="0"/>
        </w:rPr>
        <w:t xml:space="preserve">Townsend, B.K. (2005). A cautionary view. In D.L. Floyd, M.L. Skolnik, &amp; K.P. Walker (Eds.), </w:t>
      </w:r>
      <w:r w:rsidDel="00000000" w:rsidR="00000000" w:rsidRPr="00000000">
        <w:rPr>
          <w:rFonts w:ascii="Times New Roman" w:cs="Times New Roman" w:eastAsia="Times New Roman" w:hAnsi="Times New Roman"/>
          <w:i w:val="1"/>
          <w:sz w:val="24"/>
          <w:szCs w:val="24"/>
          <w:rtl w:val="0"/>
        </w:rPr>
        <w:t xml:space="preserve">The community college baccalaureate: Emerging trends and policy issues</w:t>
      </w:r>
      <w:r w:rsidDel="00000000" w:rsidR="00000000" w:rsidRPr="00000000">
        <w:rPr>
          <w:rFonts w:ascii="Times New Roman" w:cs="Times New Roman" w:eastAsia="Times New Roman" w:hAnsi="Times New Roman"/>
          <w:sz w:val="24"/>
          <w:szCs w:val="24"/>
          <w:rtl w:val="0"/>
        </w:rPr>
        <w:t xml:space="preserve"> (pp. 179-190). Sterling, VA: Stylus Publishing, LLC.</w:t>
      </w:r>
    </w:p>
    <w:p w:rsidR="00000000" w:rsidDel="00000000" w:rsidP="00000000" w:rsidRDefault="00000000" w:rsidRPr="00000000">
      <w:pPr>
        <w:contextualSpacing w:val="0"/>
      </w:pPr>
      <w:r w:rsidDel="00000000" w:rsidR="00000000" w:rsidRPr="00000000">
        <w:rPr>
          <w:rFonts w:ascii="Times New Roman" w:cs="Times New Roman" w:eastAsia="Times New Roman" w:hAnsi="Times New Roman"/>
          <w:sz w:val="24"/>
          <w:szCs w:val="24"/>
          <w:rtl w:val="0"/>
        </w:rPr>
        <w:t xml:space="preserve">Townsend, B.K., Bragg, D.D., &amp; Ruud, C.M. (2009). Development of the applied baccalaureate. </w:t>
      </w:r>
      <w:r w:rsidDel="00000000" w:rsidR="00000000" w:rsidRPr="00000000">
        <w:rPr>
          <w:rFonts w:ascii="Times New Roman" w:cs="Times New Roman" w:eastAsia="Times New Roman" w:hAnsi="Times New Roman"/>
          <w:i w:val="1"/>
          <w:sz w:val="24"/>
          <w:szCs w:val="24"/>
          <w:rtl w:val="0"/>
        </w:rPr>
        <w:t xml:space="preserve">Community</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College Journal of Research and Practice,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33(9)</w:t>
      </w:r>
      <w:r w:rsidDel="00000000" w:rsidR="00000000" w:rsidRPr="00000000">
        <w:rPr>
          <w:rFonts w:ascii="Times New Roman" w:cs="Times New Roman" w:eastAsia="Times New Roman" w:hAnsi="Times New Roman"/>
          <w:sz w:val="24"/>
          <w:szCs w:val="24"/>
          <w:rtl w:val="0"/>
        </w:rPr>
        <w:t xml:space="preserve">, 586-705.</w:t>
      </w:r>
    </w:p>
    <w:p w:rsidR="00000000" w:rsidDel="00000000" w:rsidP="00000000" w:rsidRDefault="00000000" w:rsidRPr="00000000">
      <w:pPr>
        <w:contextualSpacing w:val="0"/>
      </w:pPr>
      <w:r w:rsidDel="00000000" w:rsidR="00000000" w:rsidRPr="00000000">
        <w:rPr>
          <w:rFonts w:ascii="Times New Roman" w:cs="Times New Roman" w:eastAsia="Times New Roman" w:hAnsi="Times New Roman"/>
          <w:sz w:val="24"/>
          <w:szCs w:val="24"/>
          <w:rtl w:val="0"/>
        </w:rPr>
        <w:t xml:space="preserve">Tsunoda, J.S. &amp; Iida, Y. (2015). Institutions in transition: Japan’s community colleges. In P.A. Elsner, G.R. Boggs, &amp; J.T. Irwin (Eds.), </w:t>
      </w:r>
      <w:r w:rsidDel="00000000" w:rsidR="00000000" w:rsidRPr="00000000">
        <w:rPr>
          <w:rFonts w:ascii="Times New Roman" w:cs="Times New Roman" w:eastAsia="Times New Roman" w:hAnsi="Times New Roman"/>
          <w:i w:val="1"/>
          <w:sz w:val="24"/>
          <w:szCs w:val="24"/>
          <w:rtl w:val="0"/>
        </w:rPr>
        <w:t xml:space="preserve">Global development of community colleges, technical colleges, and further education programs, revised edition</w:t>
      </w:r>
      <w:r w:rsidDel="00000000" w:rsidR="00000000" w:rsidRPr="00000000">
        <w:rPr>
          <w:rFonts w:ascii="Times New Roman" w:cs="Times New Roman" w:eastAsia="Times New Roman" w:hAnsi="Times New Roman"/>
          <w:sz w:val="24"/>
          <w:szCs w:val="24"/>
          <w:rtl w:val="0"/>
        </w:rPr>
        <w:t xml:space="preserve"> (pp. 155-176). Washington, DC: Community College Press.</w:t>
      </w:r>
    </w:p>
    <w:p w:rsidR="00000000" w:rsidDel="00000000" w:rsidP="00000000" w:rsidRDefault="00000000" w:rsidRPr="00000000">
      <w:pPr>
        <w:contextualSpacing w:val="0"/>
      </w:pPr>
      <w:r w:rsidDel="00000000" w:rsidR="00000000" w:rsidRPr="00000000">
        <w:rPr>
          <w:rFonts w:ascii="Times New Roman" w:cs="Times New Roman" w:eastAsia="Times New Roman" w:hAnsi="Times New Roman"/>
          <w:sz w:val="24"/>
          <w:szCs w:val="24"/>
          <w:rtl w:val="0"/>
        </w:rPr>
        <w:t xml:space="preserve">UNESCO. (2006). </w:t>
      </w:r>
      <w:r w:rsidDel="00000000" w:rsidR="00000000" w:rsidRPr="00000000">
        <w:rPr>
          <w:rFonts w:ascii="Times New Roman" w:cs="Times New Roman" w:eastAsia="Times New Roman" w:hAnsi="Times New Roman"/>
          <w:i w:val="1"/>
          <w:sz w:val="24"/>
          <w:szCs w:val="24"/>
          <w:rtl w:val="0"/>
        </w:rPr>
        <w:t xml:space="preserve">International standard classification of education 1997, 2006 re-edition</w:t>
      </w:r>
      <w:r w:rsidDel="00000000" w:rsidR="00000000" w:rsidRPr="00000000">
        <w:rPr>
          <w:rFonts w:ascii="Times New Roman" w:cs="Times New Roman" w:eastAsia="Times New Roman" w:hAnsi="Times New Roman"/>
          <w:sz w:val="24"/>
          <w:szCs w:val="24"/>
          <w:rtl w:val="0"/>
        </w:rPr>
        <w:t xml:space="preserve">. Paris: Author.</w:t>
      </w:r>
    </w:p>
    <w:p w:rsidR="00000000" w:rsidDel="00000000" w:rsidP="00000000" w:rsidRDefault="00000000" w:rsidRPr="00000000">
      <w:pPr>
        <w:contextualSpacing w:val="0"/>
      </w:pPr>
      <w:r w:rsidDel="00000000" w:rsidR="00000000" w:rsidRPr="00000000">
        <w:rPr>
          <w:rFonts w:ascii="Times New Roman" w:cs="Times New Roman" w:eastAsia="Times New Roman" w:hAnsi="Times New Roman"/>
          <w:sz w:val="24"/>
          <w:szCs w:val="24"/>
          <w:rtl w:val="0"/>
        </w:rPr>
        <w:t xml:space="preserve">U.S. Department of Education. (2011). Meeting the nation’s 2020 goal: State targets for increasing the number and percentage of graduates with degrees. Retrieved from </w:t>
      </w:r>
      <w:hyperlink r:id="rId33">
        <w:r w:rsidDel="00000000" w:rsidR="00000000" w:rsidRPr="00000000">
          <w:rPr>
            <w:rFonts w:ascii="Times New Roman" w:cs="Times New Roman" w:eastAsia="Times New Roman" w:hAnsi="Times New Roman"/>
            <w:color w:val="0000ff"/>
            <w:sz w:val="24"/>
            <w:szCs w:val="24"/>
            <w:u w:val="single"/>
            <w:rtl w:val="0"/>
          </w:rPr>
          <w:t xml:space="preserve">https://www2.ed.gov/policy/highered/guid/secletter/110323insert.pdf</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pPr>
        <w:contextualSpacing w:val="0"/>
      </w:pPr>
      <w:r w:rsidDel="00000000" w:rsidR="00000000" w:rsidRPr="00000000">
        <w:rPr>
          <w:rFonts w:ascii="Times New Roman" w:cs="Times New Roman" w:eastAsia="Times New Roman" w:hAnsi="Times New Roman"/>
          <w:sz w:val="24"/>
          <w:szCs w:val="24"/>
          <w:rtl w:val="0"/>
        </w:rPr>
        <w:t xml:space="preserve">Välimaa, J. &amp; Neuvonen-Rauhala, M. (2008). Polytechnics in Finnish higher education. In J.S. Taylor, J.B. Ferreira, M.D.L. Machado, &amp; R. Santiago (Eds.),  </w:t>
      </w:r>
      <w:r w:rsidDel="00000000" w:rsidR="00000000" w:rsidRPr="00000000">
        <w:rPr>
          <w:rFonts w:ascii="Times New Roman" w:cs="Times New Roman" w:eastAsia="Times New Roman" w:hAnsi="Times New Roman"/>
          <w:i w:val="1"/>
          <w:sz w:val="24"/>
          <w:szCs w:val="24"/>
          <w:rtl w:val="0"/>
        </w:rPr>
        <w:t xml:space="preserve">Non-University higher education in Europe</w:t>
      </w:r>
      <w:r w:rsidDel="00000000" w:rsidR="00000000" w:rsidRPr="00000000">
        <w:rPr>
          <w:rFonts w:ascii="Times New Roman" w:cs="Times New Roman" w:eastAsia="Times New Roman" w:hAnsi="Times New Roman"/>
          <w:sz w:val="24"/>
          <w:szCs w:val="24"/>
          <w:rtl w:val="0"/>
        </w:rPr>
        <w:t xml:space="preserve"> (pp. 77-98). Dordrecht: Springer.  </w:t>
      </w:r>
    </w:p>
    <w:p w:rsidR="00000000" w:rsidDel="00000000" w:rsidP="00000000" w:rsidRDefault="00000000" w:rsidRPr="00000000">
      <w:pPr>
        <w:contextualSpacing w:val="0"/>
      </w:pPr>
      <w:r w:rsidDel="00000000" w:rsidR="00000000" w:rsidRPr="00000000">
        <w:rPr>
          <w:rFonts w:ascii="Times New Roman" w:cs="Times New Roman" w:eastAsia="Times New Roman" w:hAnsi="Times New Roman"/>
          <w:sz w:val="24"/>
          <w:szCs w:val="24"/>
          <w:rtl w:val="0"/>
        </w:rPr>
        <w:t xml:space="preserve">Walker, K.P. (2005). History, rationale, and the community college baccalaureate association. In D.L. Floyd, M.L. Skolnik, &amp; K.P. Walker (Eds.), </w:t>
      </w:r>
      <w:r w:rsidDel="00000000" w:rsidR="00000000" w:rsidRPr="00000000">
        <w:rPr>
          <w:rFonts w:ascii="Times New Roman" w:cs="Times New Roman" w:eastAsia="Times New Roman" w:hAnsi="Times New Roman"/>
          <w:i w:val="1"/>
          <w:sz w:val="24"/>
          <w:szCs w:val="24"/>
          <w:rtl w:val="0"/>
        </w:rPr>
        <w:t xml:space="preserve">The Community College Baccalaureate: Emerging Trends and Policy Issues</w:t>
      </w:r>
      <w:r w:rsidDel="00000000" w:rsidR="00000000" w:rsidRPr="00000000">
        <w:rPr>
          <w:rFonts w:ascii="Times New Roman" w:cs="Times New Roman" w:eastAsia="Times New Roman" w:hAnsi="Times New Roman"/>
          <w:sz w:val="24"/>
          <w:szCs w:val="24"/>
          <w:rtl w:val="0"/>
        </w:rPr>
        <w:t xml:space="preserve"> (pp. 9-24). Sterling, VA: Stylus Publishing, LLC.</w:t>
      </w:r>
    </w:p>
    <w:p w:rsidR="00000000" w:rsidDel="00000000" w:rsidP="00000000" w:rsidRDefault="00000000" w:rsidRPr="00000000">
      <w:pPr>
        <w:contextualSpacing w:val="0"/>
      </w:pPr>
      <w:r w:rsidDel="00000000" w:rsidR="00000000" w:rsidRPr="00000000">
        <w:rPr>
          <w:rFonts w:ascii="Times New Roman" w:cs="Times New Roman" w:eastAsia="Times New Roman" w:hAnsi="Times New Roman"/>
          <w:sz w:val="24"/>
          <w:szCs w:val="24"/>
          <w:rtl w:val="0"/>
        </w:rPr>
        <w:t xml:space="preserve">Walker, K.P. &amp; Floyd, D.L. (2005). Applied and workforce baccalaureates. In D.L. Floyd, M.L. Skolnik, &amp; K.P. Walker (Eds.), </w:t>
      </w:r>
      <w:r w:rsidDel="00000000" w:rsidR="00000000" w:rsidRPr="00000000">
        <w:rPr>
          <w:rFonts w:ascii="Times New Roman" w:cs="Times New Roman" w:eastAsia="Times New Roman" w:hAnsi="Times New Roman"/>
          <w:i w:val="1"/>
          <w:sz w:val="24"/>
          <w:szCs w:val="24"/>
          <w:rtl w:val="0"/>
        </w:rPr>
        <w:t xml:space="preserve">The Community College Baccalaureate: Emerging Trends and Policy Issues</w:t>
      </w:r>
      <w:r w:rsidDel="00000000" w:rsidR="00000000" w:rsidRPr="00000000">
        <w:rPr>
          <w:rFonts w:ascii="Times New Roman" w:cs="Times New Roman" w:eastAsia="Times New Roman" w:hAnsi="Times New Roman"/>
          <w:sz w:val="24"/>
          <w:szCs w:val="24"/>
          <w:rtl w:val="0"/>
        </w:rPr>
        <w:t xml:space="preserve"> (pp. 95-102). Sterling, VA: Stylus Publishing, LLC.</w:t>
      </w:r>
    </w:p>
    <w:p w:rsidR="00000000" w:rsidDel="00000000" w:rsidP="00000000" w:rsidRDefault="00000000" w:rsidRPr="00000000">
      <w:pPr>
        <w:contextualSpacing w:val="0"/>
      </w:pPr>
      <w:r w:rsidDel="00000000" w:rsidR="00000000" w:rsidRPr="00000000">
        <w:rPr>
          <w:rFonts w:ascii="Times New Roman" w:cs="Times New Roman" w:eastAsia="Times New Roman" w:hAnsi="Times New Roman"/>
          <w:sz w:val="24"/>
          <w:szCs w:val="24"/>
          <w:rtl w:val="0"/>
        </w:rPr>
        <w:t xml:space="preserve">Weinrib, J. &amp; Jones, G.A. (2014). Largely a matter of degrees: Quality assurance and Canadian universities. </w:t>
      </w:r>
      <w:r w:rsidDel="00000000" w:rsidR="00000000" w:rsidRPr="00000000">
        <w:rPr>
          <w:rFonts w:ascii="Times New Roman" w:cs="Times New Roman" w:eastAsia="Times New Roman" w:hAnsi="Times New Roman"/>
          <w:i w:val="1"/>
          <w:sz w:val="24"/>
          <w:szCs w:val="24"/>
          <w:rtl w:val="0"/>
        </w:rPr>
        <w:t xml:space="preserve">Policy &amp; Society: An Interdisciplinary Journal of Policy Research</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33</w:t>
      </w:r>
      <w:r w:rsidDel="00000000" w:rsidR="00000000" w:rsidRPr="00000000">
        <w:rPr>
          <w:rFonts w:ascii="Times New Roman" w:cs="Times New Roman" w:eastAsia="Times New Roman" w:hAnsi="Times New Roman"/>
          <w:sz w:val="24"/>
          <w:szCs w:val="24"/>
          <w:rtl w:val="0"/>
        </w:rPr>
        <w:t xml:space="preserve">(3), 225-236.</w:t>
      </w:r>
    </w:p>
    <w:p w:rsidR="00000000" w:rsidDel="00000000" w:rsidP="00000000" w:rsidRDefault="00000000" w:rsidRPr="00000000">
      <w:pPr>
        <w:contextualSpacing w:val="0"/>
      </w:pPr>
      <w:r w:rsidDel="00000000" w:rsidR="00000000" w:rsidRPr="00000000">
        <w:rPr>
          <w:rFonts w:ascii="Times New Roman" w:cs="Times New Roman" w:eastAsia="Times New Roman" w:hAnsi="Times New Roman"/>
          <w:sz w:val="24"/>
          <w:szCs w:val="24"/>
          <w:rtl w:val="0"/>
        </w:rPr>
        <w:t xml:space="preserve">Will, M. (2014, 16 September). U.S. trails in college graduation in global study. </w:t>
      </w:r>
      <w:r w:rsidDel="00000000" w:rsidR="00000000" w:rsidRPr="00000000">
        <w:rPr>
          <w:rFonts w:ascii="Times New Roman" w:cs="Times New Roman" w:eastAsia="Times New Roman" w:hAnsi="Times New Roman"/>
          <w:i w:val="1"/>
          <w:sz w:val="24"/>
          <w:szCs w:val="24"/>
          <w:rtl w:val="0"/>
        </w:rPr>
        <w:t xml:space="preserve">Education Week</w:t>
      </w:r>
      <w:r w:rsidDel="00000000" w:rsidR="00000000" w:rsidRPr="00000000">
        <w:rPr>
          <w:rFonts w:ascii="Times New Roman" w:cs="Times New Roman" w:eastAsia="Times New Roman" w:hAnsi="Times New Roman"/>
          <w:sz w:val="24"/>
          <w:szCs w:val="24"/>
          <w:rtl w:val="0"/>
        </w:rPr>
        <w:t xml:space="preserve">. Retrieved from </w:t>
      </w:r>
      <w:hyperlink r:id="rId34">
        <w:r w:rsidDel="00000000" w:rsidR="00000000" w:rsidRPr="00000000">
          <w:rPr>
            <w:rFonts w:ascii="Times New Roman" w:cs="Times New Roman" w:eastAsia="Times New Roman" w:hAnsi="Times New Roman"/>
            <w:color w:val="0000ff"/>
            <w:sz w:val="24"/>
            <w:szCs w:val="24"/>
            <w:u w:val="single"/>
            <w:rtl w:val="0"/>
          </w:rPr>
          <w:t xml:space="preserve">http://www.edweek.org/ew/articles/2014/09/17/04oecd.h34.html</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r w:rsidDel="00000000" w:rsidR="00000000" w:rsidRPr="00000000">
        <w:br w:type="page"/>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ind w:left="-720" w:firstLine="0"/>
        <w:contextualSpacing w:val="0"/>
        <w:jc w:val="center"/>
      </w:pPr>
      <w:r w:rsidDel="00000000" w:rsidR="00000000" w:rsidRPr="00000000">
        <w:rPr>
          <w:rFonts w:ascii="Times New Roman" w:cs="Times New Roman" w:eastAsia="Times New Roman" w:hAnsi="Times New Roman"/>
          <w:b w:val="1"/>
          <w:sz w:val="24"/>
          <w:szCs w:val="24"/>
          <w:rtl w:val="0"/>
        </w:rPr>
        <w:t xml:space="preserve">Table 1</w:t>
      </w:r>
    </w:p>
    <w:p w:rsidR="00000000" w:rsidDel="00000000" w:rsidP="00000000" w:rsidRDefault="00000000" w:rsidRPr="00000000">
      <w:pPr>
        <w:ind w:left="-720" w:firstLine="0"/>
        <w:contextualSpacing w:val="0"/>
        <w:jc w:val="center"/>
      </w:pPr>
      <w:r w:rsidDel="00000000" w:rsidR="00000000" w:rsidRPr="00000000">
        <w:rPr>
          <w:rFonts w:ascii="Times New Roman" w:cs="Times New Roman" w:eastAsia="Times New Roman" w:hAnsi="Times New Roman"/>
          <w:b w:val="1"/>
          <w:sz w:val="24"/>
          <w:szCs w:val="24"/>
          <w:rtl w:val="0"/>
        </w:rPr>
        <w:t xml:space="preserve">Percentage of the population aged 25-64 that has attained tertiary education,</w:t>
      </w:r>
    </w:p>
    <w:p w:rsidR="00000000" w:rsidDel="00000000" w:rsidP="00000000" w:rsidRDefault="00000000" w:rsidRPr="00000000">
      <w:pPr>
        <w:ind w:left="-720" w:firstLine="0"/>
        <w:contextualSpacing w:val="0"/>
        <w:jc w:val="center"/>
      </w:pPr>
      <w:r w:rsidDel="00000000" w:rsidR="00000000" w:rsidRPr="00000000">
        <w:rPr>
          <w:rFonts w:ascii="Times New Roman" w:cs="Times New Roman" w:eastAsia="Times New Roman" w:hAnsi="Times New Roman"/>
          <w:b w:val="1"/>
          <w:sz w:val="24"/>
          <w:szCs w:val="24"/>
          <w:rtl w:val="0"/>
        </w:rPr>
        <w:t xml:space="preserve"> OECD countries, 2002 and 2012 </w:t>
      </w:r>
    </w:p>
    <w:p w:rsidR="00000000" w:rsidDel="00000000" w:rsidP="00000000" w:rsidRDefault="00000000" w:rsidRPr="00000000">
      <w:pPr>
        <w:contextualSpacing w:val="0"/>
      </w:pPr>
      <w:r w:rsidDel="00000000" w:rsidR="00000000" w:rsidRPr="00000000">
        <w:rPr>
          <w:rtl w:val="0"/>
        </w:rPr>
        <w:tab/>
        <w:tab/>
        <w:tab/>
      </w:r>
      <w:r w:rsidDel="00000000" w:rsidR="00000000" w:rsidRPr="00000000">
        <w:rPr>
          <w:rFonts w:ascii="Times New Roman" w:cs="Times New Roman" w:eastAsia="Times New Roman" w:hAnsi="Times New Roman"/>
          <w:sz w:val="24"/>
          <w:szCs w:val="24"/>
          <w:rtl w:val="0"/>
        </w:rPr>
        <w:t xml:space="preserve">2002</w:t>
        <w:tab/>
        <w:tab/>
        <w:tab/>
        <w:tab/>
        <w:tab/>
        <w:t xml:space="preserve">2012</w:t>
      </w:r>
    </w:p>
    <w:tbl>
      <w:tblPr>
        <w:tblStyle w:val="Table1"/>
        <w:bidi w:val="0"/>
        <w:tblW w:w="8352.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440"/>
        <w:gridCol w:w="1152"/>
        <w:gridCol w:w="1152"/>
        <w:gridCol w:w="1152"/>
        <w:gridCol w:w="1152"/>
        <w:gridCol w:w="1152"/>
        <w:gridCol w:w="1152"/>
        <w:tblGridChange w:id="0">
          <w:tblGrid>
            <w:gridCol w:w="1440"/>
            <w:gridCol w:w="1152"/>
            <w:gridCol w:w="1152"/>
            <w:gridCol w:w="1152"/>
            <w:gridCol w:w="1152"/>
            <w:gridCol w:w="1152"/>
            <w:gridCol w:w="1152"/>
          </w:tblGrid>
        </w:tblGridChange>
      </w:tblGrid>
      <w:tr>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pPr>
              <w:contextualSpacing w:val="0"/>
            </w:pPr>
            <w:r w:rsidDel="00000000" w:rsidR="00000000" w:rsidRPr="00000000">
              <w:rPr>
                <w:rtl w:val="0"/>
              </w:rPr>
            </w:r>
          </w:p>
        </w:tc>
        <w:tc>
          <w:tcPr>
            <w:tcBorders>
              <w:top w:color="000000" w:space="0" w:sz="4" w:val="single"/>
              <w:left w:color="000000" w:space="0" w:sz="4" w:val="single"/>
            </w:tcBorders>
          </w:tcPr>
          <w:p w:rsidR="00000000" w:rsidDel="00000000" w:rsidP="00000000" w:rsidRDefault="00000000" w:rsidRPr="00000000">
            <w:pPr>
              <w:contextualSpacing w:val="0"/>
              <w:jc w:val="center"/>
            </w:pPr>
            <w:r w:rsidDel="00000000" w:rsidR="00000000" w:rsidRPr="00000000">
              <w:rPr>
                <w:rFonts w:ascii="Times New Roman" w:cs="Times New Roman" w:eastAsia="Times New Roman" w:hAnsi="Times New Roman"/>
                <w:rtl w:val="0"/>
              </w:rPr>
              <w:t xml:space="preserve">Tertiary B</w:t>
            </w:r>
          </w:p>
        </w:tc>
        <w:tc>
          <w:tcPr>
            <w:tcBorders>
              <w:top w:color="000000" w:space="0" w:sz="4" w:val="single"/>
            </w:tcBorders>
          </w:tcPr>
          <w:p w:rsidR="00000000" w:rsidDel="00000000" w:rsidP="00000000" w:rsidRDefault="00000000" w:rsidRPr="00000000">
            <w:pPr>
              <w:contextualSpacing w:val="0"/>
              <w:jc w:val="center"/>
            </w:pPr>
            <w:r w:rsidDel="00000000" w:rsidR="00000000" w:rsidRPr="00000000">
              <w:rPr>
                <w:rFonts w:ascii="Times New Roman" w:cs="Times New Roman" w:eastAsia="Times New Roman" w:hAnsi="Times New Roman"/>
                <w:rtl w:val="0"/>
              </w:rPr>
              <w:t xml:space="preserve">Tertiary A</w:t>
            </w:r>
          </w:p>
        </w:tc>
        <w:tc>
          <w:tcPr>
            <w:tcBorders>
              <w:top w:color="000000" w:space="0" w:sz="4" w:val="single"/>
            </w:tcBorders>
          </w:tcPr>
          <w:p w:rsidR="00000000" w:rsidDel="00000000" w:rsidP="00000000" w:rsidRDefault="00000000" w:rsidRPr="00000000">
            <w:pPr>
              <w:contextualSpacing w:val="0"/>
              <w:jc w:val="center"/>
            </w:pPr>
            <w:r w:rsidDel="00000000" w:rsidR="00000000" w:rsidRPr="00000000">
              <w:rPr>
                <w:rFonts w:ascii="Times New Roman" w:cs="Times New Roman" w:eastAsia="Times New Roman" w:hAnsi="Times New Roman"/>
                <w:rtl w:val="0"/>
              </w:rPr>
              <w:t xml:space="preserve">Total%</w:t>
            </w:r>
          </w:p>
        </w:tc>
        <w:tc>
          <w:tcPr>
            <w:tcBorders>
              <w:top w:color="000000" w:space="0" w:sz="4" w:val="single"/>
            </w:tcBorders>
          </w:tcPr>
          <w:p w:rsidR="00000000" w:rsidDel="00000000" w:rsidP="00000000" w:rsidRDefault="00000000" w:rsidRPr="00000000">
            <w:pPr>
              <w:contextualSpacing w:val="0"/>
              <w:jc w:val="center"/>
            </w:pPr>
            <w:r w:rsidDel="00000000" w:rsidR="00000000" w:rsidRPr="00000000">
              <w:rPr>
                <w:rFonts w:ascii="Times New Roman" w:cs="Times New Roman" w:eastAsia="Times New Roman" w:hAnsi="Times New Roman"/>
                <w:rtl w:val="0"/>
              </w:rPr>
              <w:t xml:space="preserve">Tertiary B</w:t>
            </w:r>
          </w:p>
        </w:tc>
        <w:tc>
          <w:tcPr>
            <w:tcBorders>
              <w:top w:color="000000" w:space="0" w:sz="4" w:val="single"/>
            </w:tcBorders>
          </w:tcPr>
          <w:p w:rsidR="00000000" w:rsidDel="00000000" w:rsidP="00000000" w:rsidRDefault="00000000" w:rsidRPr="00000000">
            <w:pPr>
              <w:contextualSpacing w:val="0"/>
              <w:jc w:val="center"/>
            </w:pPr>
            <w:r w:rsidDel="00000000" w:rsidR="00000000" w:rsidRPr="00000000">
              <w:rPr>
                <w:rFonts w:ascii="Times New Roman" w:cs="Times New Roman" w:eastAsia="Times New Roman" w:hAnsi="Times New Roman"/>
                <w:rtl w:val="0"/>
              </w:rPr>
              <w:t xml:space="preserve">Tertiary A</w:t>
            </w:r>
          </w:p>
        </w:tc>
        <w:tc>
          <w:tcPr>
            <w:tcBorders>
              <w:top w:color="000000" w:space="0" w:sz="4" w:val="single"/>
            </w:tcBorders>
          </w:tcPr>
          <w:p w:rsidR="00000000" w:rsidDel="00000000" w:rsidP="00000000" w:rsidRDefault="00000000" w:rsidRPr="00000000">
            <w:pPr>
              <w:contextualSpacing w:val="0"/>
              <w:jc w:val="center"/>
            </w:pPr>
            <w:r w:rsidDel="00000000" w:rsidR="00000000" w:rsidRPr="00000000">
              <w:rPr>
                <w:rFonts w:ascii="Times New Roman" w:cs="Times New Roman" w:eastAsia="Times New Roman" w:hAnsi="Times New Roman"/>
                <w:rtl w:val="0"/>
              </w:rPr>
              <w:t xml:space="preserve">Total%</w:t>
            </w:r>
          </w:p>
        </w:tc>
      </w:tr>
      <w:tr>
        <w:tc>
          <w:tcPr>
            <w:tcBorders>
              <w:top w:color="000000" w:space="0" w:sz="4" w:val="single"/>
            </w:tcBorders>
          </w:tcPr>
          <w:p w:rsidR="00000000" w:rsidDel="00000000" w:rsidP="00000000" w:rsidRDefault="00000000" w:rsidRPr="00000000">
            <w:pPr>
              <w:contextualSpacing w:val="0"/>
            </w:pPr>
            <w:r w:rsidDel="00000000" w:rsidR="00000000" w:rsidRPr="00000000">
              <w:rPr>
                <w:rFonts w:ascii="Times New Roman" w:cs="Times New Roman" w:eastAsia="Times New Roman" w:hAnsi="Times New Roman"/>
                <w:rtl w:val="0"/>
              </w:rPr>
              <w:t xml:space="preserve">Australia</w:t>
            </w:r>
          </w:p>
        </w:tc>
        <w:tc>
          <w:tcPr/>
          <w:p w:rsidR="00000000" w:rsidDel="00000000" w:rsidP="00000000" w:rsidRDefault="00000000" w:rsidRPr="00000000">
            <w:pPr>
              <w:contextualSpacing w:val="0"/>
              <w:jc w:val="center"/>
            </w:pPr>
            <w:r w:rsidDel="00000000" w:rsidR="00000000" w:rsidRPr="00000000">
              <w:rPr>
                <w:rFonts w:ascii="Times New Roman" w:cs="Times New Roman" w:eastAsia="Times New Roman" w:hAnsi="Times New Roman"/>
                <w:rtl w:val="0"/>
              </w:rPr>
              <w:t xml:space="preserve">11</w:t>
            </w:r>
          </w:p>
        </w:tc>
        <w:tc>
          <w:tcPr/>
          <w:p w:rsidR="00000000" w:rsidDel="00000000" w:rsidP="00000000" w:rsidRDefault="00000000" w:rsidRPr="00000000">
            <w:pPr>
              <w:contextualSpacing w:val="0"/>
              <w:jc w:val="center"/>
            </w:pPr>
            <w:r w:rsidDel="00000000" w:rsidR="00000000" w:rsidRPr="00000000">
              <w:rPr>
                <w:rFonts w:ascii="Times New Roman" w:cs="Times New Roman" w:eastAsia="Times New Roman" w:hAnsi="Times New Roman"/>
                <w:rtl w:val="0"/>
              </w:rPr>
              <w:t xml:space="preserve">20</w:t>
            </w:r>
          </w:p>
        </w:tc>
        <w:tc>
          <w:tcPr/>
          <w:p w:rsidR="00000000" w:rsidDel="00000000" w:rsidP="00000000" w:rsidRDefault="00000000" w:rsidRPr="00000000">
            <w:pPr>
              <w:contextualSpacing w:val="0"/>
              <w:jc w:val="center"/>
            </w:pPr>
            <w:r w:rsidDel="00000000" w:rsidR="00000000" w:rsidRPr="00000000">
              <w:rPr>
                <w:rFonts w:ascii="Times New Roman" w:cs="Times New Roman" w:eastAsia="Times New Roman" w:hAnsi="Times New Roman"/>
                <w:rtl w:val="0"/>
              </w:rPr>
              <w:t xml:space="preserve">31</w:t>
            </w:r>
          </w:p>
        </w:tc>
        <w:tc>
          <w:tcPr/>
          <w:p w:rsidR="00000000" w:rsidDel="00000000" w:rsidP="00000000" w:rsidRDefault="00000000" w:rsidRPr="00000000">
            <w:pPr>
              <w:contextualSpacing w:val="0"/>
              <w:jc w:val="center"/>
            </w:pPr>
            <w:r w:rsidDel="00000000" w:rsidR="00000000" w:rsidRPr="00000000">
              <w:rPr>
                <w:rFonts w:ascii="Times New Roman" w:cs="Times New Roman" w:eastAsia="Times New Roman" w:hAnsi="Times New Roman"/>
                <w:rtl w:val="0"/>
              </w:rPr>
              <w:t xml:space="preserve">11</w:t>
            </w:r>
          </w:p>
        </w:tc>
        <w:tc>
          <w:tcPr/>
          <w:p w:rsidR="00000000" w:rsidDel="00000000" w:rsidP="00000000" w:rsidRDefault="00000000" w:rsidRPr="00000000">
            <w:pPr>
              <w:contextualSpacing w:val="0"/>
              <w:jc w:val="center"/>
            </w:pPr>
            <w:r w:rsidDel="00000000" w:rsidR="00000000" w:rsidRPr="00000000">
              <w:rPr>
                <w:rFonts w:ascii="Times New Roman" w:cs="Times New Roman" w:eastAsia="Times New Roman" w:hAnsi="Times New Roman"/>
                <w:rtl w:val="0"/>
              </w:rPr>
              <w:t xml:space="preserve">30</w:t>
            </w:r>
          </w:p>
        </w:tc>
        <w:tc>
          <w:tcPr/>
          <w:p w:rsidR="00000000" w:rsidDel="00000000" w:rsidP="00000000" w:rsidRDefault="00000000" w:rsidRPr="00000000">
            <w:pPr>
              <w:contextualSpacing w:val="0"/>
              <w:jc w:val="center"/>
            </w:pPr>
            <w:r w:rsidDel="00000000" w:rsidR="00000000" w:rsidRPr="00000000">
              <w:rPr>
                <w:rFonts w:ascii="Times New Roman" w:cs="Times New Roman" w:eastAsia="Times New Roman" w:hAnsi="Times New Roman"/>
                <w:rtl w:val="0"/>
              </w:rPr>
              <w:t xml:space="preserve">41</w:t>
            </w:r>
          </w:p>
        </w:tc>
      </w:tr>
      <w:tr>
        <w:tc>
          <w:tcPr/>
          <w:p w:rsidR="00000000" w:rsidDel="00000000" w:rsidP="00000000" w:rsidRDefault="00000000" w:rsidRPr="00000000">
            <w:pPr>
              <w:contextualSpacing w:val="0"/>
            </w:pPr>
            <w:r w:rsidDel="00000000" w:rsidR="00000000" w:rsidRPr="00000000">
              <w:rPr>
                <w:rFonts w:ascii="Times New Roman" w:cs="Times New Roman" w:eastAsia="Times New Roman" w:hAnsi="Times New Roman"/>
                <w:rtl w:val="0"/>
              </w:rPr>
              <w:t xml:space="preserve">Austria</w:t>
            </w:r>
          </w:p>
        </w:tc>
        <w:tc>
          <w:tcPr/>
          <w:p w:rsidR="00000000" w:rsidDel="00000000" w:rsidP="00000000" w:rsidRDefault="00000000" w:rsidRPr="00000000">
            <w:pPr>
              <w:contextualSpacing w:val="0"/>
              <w:jc w:val="center"/>
            </w:pPr>
            <w:r w:rsidDel="00000000" w:rsidR="00000000" w:rsidRPr="00000000">
              <w:rPr>
                <w:rFonts w:ascii="Times New Roman" w:cs="Times New Roman" w:eastAsia="Times New Roman" w:hAnsi="Times New Roman"/>
                <w:rtl w:val="0"/>
              </w:rPr>
              <w:t xml:space="preserve">7</w:t>
            </w:r>
          </w:p>
        </w:tc>
        <w:tc>
          <w:tcPr/>
          <w:p w:rsidR="00000000" w:rsidDel="00000000" w:rsidP="00000000" w:rsidRDefault="00000000" w:rsidRPr="00000000">
            <w:pPr>
              <w:contextualSpacing w:val="0"/>
              <w:jc w:val="center"/>
            </w:pPr>
            <w:r w:rsidDel="00000000" w:rsidR="00000000" w:rsidRPr="00000000">
              <w:rPr>
                <w:rFonts w:ascii="Times New Roman" w:cs="Times New Roman" w:eastAsia="Times New Roman" w:hAnsi="Times New Roman"/>
                <w:rtl w:val="0"/>
              </w:rPr>
              <w:t xml:space="preserve">7</w:t>
            </w:r>
          </w:p>
        </w:tc>
        <w:tc>
          <w:tcPr/>
          <w:p w:rsidR="00000000" w:rsidDel="00000000" w:rsidP="00000000" w:rsidRDefault="00000000" w:rsidRPr="00000000">
            <w:pPr>
              <w:contextualSpacing w:val="0"/>
              <w:jc w:val="center"/>
            </w:pPr>
            <w:r w:rsidDel="00000000" w:rsidR="00000000" w:rsidRPr="00000000">
              <w:rPr>
                <w:rFonts w:ascii="Times New Roman" w:cs="Times New Roman" w:eastAsia="Times New Roman" w:hAnsi="Times New Roman"/>
                <w:rtl w:val="0"/>
              </w:rPr>
              <w:t xml:space="preserve">14</w:t>
            </w:r>
          </w:p>
        </w:tc>
        <w:tc>
          <w:tcPr/>
          <w:p w:rsidR="00000000" w:rsidDel="00000000" w:rsidP="00000000" w:rsidRDefault="00000000" w:rsidRPr="00000000">
            <w:pPr>
              <w:contextualSpacing w:val="0"/>
              <w:jc w:val="center"/>
            </w:pPr>
            <w:r w:rsidDel="00000000" w:rsidR="00000000" w:rsidRPr="00000000">
              <w:rPr>
                <w:rFonts w:ascii="Times New Roman" w:cs="Times New Roman" w:eastAsia="Times New Roman" w:hAnsi="Times New Roman"/>
                <w:rtl w:val="0"/>
              </w:rPr>
              <w:t xml:space="preserve">7</w:t>
            </w:r>
          </w:p>
        </w:tc>
        <w:tc>
          <w:tcPr/>
          <w:p w:rsidR="00000000" w:rsidDel="00000000" w:rsidP="00000000" w:rsidRDefault="00000000" w:rsidRPr="00000000">
            <w:pPr>
              <w:contextualSpacing w:val="0"/>
              <w:jc w:val="center"/>
            </w:pPr>
            <w:r w:rsidDel="00000000" w:rsidR="00000000" w:rsidRPr="00000000">
              <w:rPr>
                <w:rFonts w:ascii="Times New Roman" w:cs="Times New Roman" w:eastAsia="Times New Roman" w:hAnsi="Times New Roman"/>
                <w:rtl w:val="0"/>
              </w:rPr>
              <w:t xml:space="preserve">13</w:t>
            </w:r>
          </w:p>
        </w:tc>
        <w:tc>
          <w:tcPr/>
          <w:p w:rsidR="00000000" w:rsidDel="00000000" w:rsidP="00000000" w:rsidRDefault="00000000" w:rsidRPr="00000000">
            <w:pPr>
              <w:contextualSpacing w:val="0"/>
              <w:jc w:val="center"/>
            </w:pPr>
            <w:r w:rsidDel="00000000" w:rsidR="00000000" w:rsidRPr="00000000">
              <w:rPr>
                <w:rFonts w:ascii="Times New Roman" w:cs="Times New Roman" w:eastAsia="Times New Roman" w:hAnsi="Times New Roman"/>
                <w:rtl w:val="0"/>
              </w:rPr>
              <w:t xml:space="preserve">20</w:t>
            </w:r>
          </w:p>
        </w:tc>
      </w:tr>
      <w:tr>
        <w:tc>
          <w:tcPr/>
          <w:p w:rsidR="00000000" w:rsidDel="00000000" w:rsidP="00000000" w:rsidRDefault="00000000" w:rsidRPr="00000000">
            <w:pPr>
              <w:contextualSpacing w:val="0"/>
            </w:pPr>
            <w:r w:rsidDel="00000000" w:rsidR="00000000" w:rsidRPr="00000000">
              <w:rPr>
                <w:rFonts w:ascii="Times New Roman" w:cs="Times New Roman" w:eastAsia="Times New Roman" w:hAnsi="Times New Roman"/>
                <w:rtl w:val="0"/>
              </w:rPr>
              <w:t xml:space="preserve">Belgium</w:t>
            </w:r>
          </w:p>
        </w:tc>
        <w:tc>
          <w:tcPr/>
          <w:p w:rsidR="00000000" w:rsidDel="00000000" w:rsidP="00000000" w:rsidRDefault="00000000" w:rsidRPr="00000000">
            <w:pPr>
              <w:contextualSpacing w:val="0"/>
              <w:jc w:val="center"/>
            </w:pPr>
            <w:r w:rsidDel="00000000" w:rsidR="00000000" w:rsidRPr="00000000">
              <w:rPr>
                <w:rFonts w:ascii="Times New Roman" w:cs="Times New Roman" w:eastAsia="Times New Roman" w:hAnsi="Times New Roman"/>
                <w:rtl w:val="0"/>
              </w:rPr>
              <w:t xml:space="preserve">15</w:t>
            </w:r>
          </w:p>
        </w:tc>
        <w:tc>
          <w:tcPr/>
          <w:p w:rsidR="00000000" w:rsidDel="00000000" w:rsidP="00000000" w:rsidRDefault="00000000" w:rsidRPr="00000000">
            <w:pPr>
              <w:contextualSpacing w:val="0"/>
              <w:jc w:val="center"/>
            </w:pPr>
            <w:r w:rsidDel="00000000" w:rsidR="00000000" w:rsidRPr="00000000">
              <w:rPr>
                <w:rFonts w:ascii="Times New Roman" w:cs="Times New Roman" w:eastAsia="Times New Roman" w:hAnsi="Times New Roman"/>
                <w:rtl w:val="0"/>
              </w:rPr>
              <w:t xml:space="preserve">13</w:t>
            </w:r>
          </w:p>
        </w:tc>
        <w:tc>
          <w:tcPr/>
          <w:p w:rsidR="00000000" w:rsidDel="00000000" w:rsidP="00000000" w:rsidRDefault="00000000" w:rsidRPr="00000000">
            <w:pPr>
              <w:contextualSpacing w:val="0"/>
              <w:jc w:val="center"/>
            </w:pPr>
            <w:r w:rsidDel="00000000" w:rsidR="00000000" w:rsidRPr="00000000">
              <w:rPr>
                <w:rFonts w:ascii="Times New Roman" w:cs="Times New Roman" w:eastAsia="Times New Roman" w:hAnsi="Times New Roman"/>
                <w:rtl w:val="0"/>
              </w:rPr>
              <w:t xml:space="preserve">28</w:t>
            </w:r>
          </w:p>
        </w:tc>
        <w:tc>
          <w:tcPr/>
          <w:p w:rsidR="00000000" w:rsidDel="00000000" w:rsidP="00000000" w:rsidRDefault="00000000" w:rsidRPr="00000000">
            <w:pPr>
              <w:contextualSpacing w:val="0"/>
              <w:jc w:val="center"/>
            </w:pPr>
            <w:r w:rsidDel="00000000" w:rsidR="00000000" w:rsidRPr="00000000">
              <w:rPr>
                <w:rFonts w:ascii="Times New Roman" w:cs="Times New Roman" w:eastAsia="Times New Roman" w:hAnsi="Times New Roman"/>
                <w:rtl w:val="0"/>
              </w:rPr>
              <w:t xml:space="preserve">17</w:t>
            </w:r>
          </w:p>
        </w:tc>
        <w:tc>
          <w:tcPr/>
          <w:p w:rsidR="00000000" w:rsidDel="00000000" w:rsidP="00000000" w:rsidRDefault="00000000" w:rsidRPr="00000000">
            <w:pPr>
              <w:contextualSpacing w:val="0"/>
              <w:jc w:val="center"/>
            </w:pPr>
            <w:r w:rsidDel="00000000" w:rsidR="00000000" w:rsidRPr="00000000">
              <w:rPr>
                <w:rFonts w:ascii="Times New Roman" w:cs="Times New Roman" w:eastAsia="Times New Roman" w:hAnsi="Times New Roman"/>
                <w:rtl w:val="0"/>
              </w:rPr>
              <w:t xml:space="preserve">18</w:t>
            </w:r>
          </w:p>
        </w:tc>
        <w:tc>
          <w:tcPr/>
          <w:p w:rsidR="00000000" w:rsidDel="00000000" w:rsidP="00000000" w:rsidRDefault="00000000" w:rsidRPr="00000000">
            <w:pPr>
              <w:contextualSpacing w:val="0"/>
              <w:jc w:val="center"/>
            </w:pPr>
            <w:r w:rsidDel="00000000" w:rsidR="00000000" w:rsidRPr="00000000">
              <w:rPr>
                <w:rFonts w:ascii="Times New Roman" w:cs="Times New Roman" w:eastAsia="Times New Roman" w:hAnsi="Times New Roman"/>
                <w:rtl w:val="0"/>
              </w:rPr>
              <w:t xml:space="preserve">35</w:t>
            </w:r>
          </w:p>
        </w:tc>
      </w:tr>
      <w:tr>
        <w:tc>
          <w:tcPr/>
          <w:p w:rsidR="00000000" w:rsidDel="00000000" w:rsidP="00000000" w:rsidRDefault="00000000" w:rsidRPr="00000000">
            <w:pPr>
              <w:contextualSpacing w:val="0"/>
            </w:pPr>
            <w:r w:rsidDel="00000000" w:rsidR="00000000" w:rsidRPr="00000000">
              <w:rPr>
                <w:rFonts w:ascii="Times New Roman" w:cs="Times New Roman" w:eastAsia="Times New Roman" w:hAnsi="Times New Roman"/>
                <w:rtl w:val="0"/>
              </w:rPr>
              <w:t xml:space="preserve">Canada</w:t>
            </w:r>
          </w:p>
        </w:tc>
        <w:tc>
          <w:tcPr/>
          <w:p w:rsidR="00000000" w:rsidDel="00000000" w:rsidP="00000000" w:rsidRDefault="00000000" w:rsidRPr="00000000">
            <w:pPr>
              <w:contextualSpacing w:val="0"/>
              <w:jc w:val="center"/>
            </w:pPr>
            <w:r w:rsidDel="00000000" w:rsidR="00000000" w:rsidRPr="00000000">
              <w:rPr>
                <w:rFonts w:ascii="Times New Roman" w:cs="Times New Roman" w:eastAsia="Times New Roman" w:hAnsi="Times New Roman"/>
                <w:rtl w:val="0"/>
              </w:rPr>
              <w:t xml:space="preserve">22</w:t>
            </w:r>
          </w:p>
        </w:tc>
        <w:tc>
          <w:tcPr/>
          <w:p w:rsidR="00000000" w:rsidDel="00000000" w:rsidP="00000000" w:rsidRDefault="00000000" w:rsidRPr="00000000">
            <w:pPr>
              <w:contextualSpacing w:val="0"/>
              <w:jc w:val="center"/>
            </w:pPr>
            <w:r w:rsidDel="00000000" w:rsidR="00000000" w:rsidRPr="00000000">
              <w:rPr>
                <w:rFonts w:ascii="Times New Roman" w:cs="Times New Roman" w:eastAsia="Times New Roman" w:hAnsi="Times New Roman"/>
                <w:rtl w:val="0"/>
              </w:rPr>
              <w:t xml:space="preserve">21</w:t>
            </w:r>
          </w:p>
        </w:tc>
        <w:tc>
          <w:tcPr/>
          <w:p w:rsidR="00000000" w:rsidDel="00000000" w:rsidP="00000000" w:rsidRDefault="00000000" w:rsidRPr="00000000">
            <w:pPr>
              <w:contextualSpacing w:val="0"/>
              <w:jc w:val="center"/>
            </w:pPr>
            <w:r w:rsidDel="00000000" w:rsidR="00000000" w:rsidRPr="00000000">
              <w:rPr>
                <w:rFonts w:ascii="Times New Roman" w:cs="Times New Roman" w:eastAsia="Times New Roman" w:hAnsi="Times New Roman"/>
                <w:rtl w:val="0"/>
              </w:rPr>
              <w:t xml:space="preserve">43</w:t>
            </w:r>
          </w:p>
        </w:tc>
        <w:tc>
          <w:tcPr/>
          <w:p w:rsidR="00000000" w:rsidDel="00000000" w:rsidP="00000000" w:rsidRDefault="00000000" w:rsidRPr="00000000">
            <w:pPr>
              <w:contextualSpacing w:val="0"/>
              <w:jc w:val="center"/>
            </w:pPr>
            <w:r w:rsidDel="00000000" w:rsidR="00000000" w:rsidRPr="00000000">
              <w:rPr>
                <w:rFonts w:ascii="Times New Roman" w:cs="Times New Roman" w:eastAsia="Times New Roman" w:hAnsi="Times New Roman"/>
                <w:rtl w:val="0"/>
              </w:rPr>
              <w:t xml:space="preserve">25</w:t>
            </w:r>
          </w:p>
        </w:tc>
        <w:tc>
          <w:tcPr/>
          <w:p w:rsidR="00000000" w:rsidDel="00000000" w:rsidP="00000000" w:rsidRDefault="00000000" w:rsidRPr="00000000">
            <w:pPr>
              <w:contextualSpacing w:val="0"/>
              <w:jc w:val="center"/>
            </w:pPr>
            <w:r w:rsidDel="00000000" w:rsidR="00000000" w:rsidRPr="00000000">
              <w:rPr>
                <w:rFonts w:ascii="Times New Roman" w:cs="Times New Roman" w:eastAsia="Times New Roman" w:hAnsi="Times New Roman"/>
                <w:rtl w:val="0"/>
              </w:rPr>
              <w:t xml:space="preserve">28</w:t>
            </w:r>
          </w:p>
        </w:tc>
        <w:tc>
          <w:tcPr/>
          <w:p w:rsidR="00000000" w:rsidDel="00000000" w:rsidP="00000000" w:rsidRDefault="00000000" w:rsidRPr="00000000">
            <w:pPr>
              <w:contextualSpacing w:val="0"/>
              <w:jc w:val="center"/>
            </w:pPr>
            <w:r w:rsidDel="00000000" w:rsidR="00000000" w:rsidRPr="00000000">
              <w:rPr>
                <w:rFonts w:ascii="Times New Roman" w:cs="Times New Roman" w:eastAsia="Times New Roman" w:hAnsi="Times New Roman"/>
                <w:rtl w:val="0"/>
              </w:rPr>
              <w:t xml:space="preserve">53</w:t>
            </w:r>
          </w:p>
        </w:tc>
      </w:tr>
      <w:tr>
        <w:tc>
          <w:tcPr/>
          <w:p w:rsidR="00000000" w:rsidDel="00000000" w:rsidP="00000000" w:rsidRDefault="00000000" w:rsidRPr="00000000">
            <w:pPr>
              <w:contextualSpacing w:val="0"/>
            </w:pPr>
            <w:r w:rsidDel="00000000" w:rsidR="00000000" w:rsidRPr="00000000">
              <w:rPr>
                <w:rFonts w:ascii="Times New Roman" w:cs="Times New Roman" w:eastAsia="Times New Roman" w:hAnsi="Times New Roman"/>
                <w:rtl w:val="0"/>
              </w:rPr>
              <w:t xml:space="preserve">Denmark</w:t>
            </w:r>
          </w:p>
        </w:tc>
        <w:tc>
          <w:tcPr/>
          <w:p w:rsidR="00000000" w:rsidDel="00000000" w:rsidP="00000000" w:rsidRDefault="00000000" w:rsidRPr="00000000">
            <w:pPr>
              <w:contextualSpacing w:val="0"/>
              <w:jc w:val="center"/>
            </w:pPr>
            <w:r w:rsidDel="00000000" w:rsidR="00000000" w:rsidRPr="00000000">
              <w:rPr>
                <w:rFonts w:ascii="Times New Roman" w:cs="Times New Roman" w:eastAsia="Times New Roman" w:hAnsi="Times New Roman"/>
                <w:rtl w:val="0"/>
              </w:rPr>
              <w:t xml:space="preserve">5</w:t>
            </w:r>
          </w:p>
        </w:tc>
        <w:tc>
          <w:tcPr/>
          <w:p w:rsidR="00000000" w:rsidDel="00000000" w:rsidP="00000000" w:rsidRDefault="00000000" w:rsidRPr="00000000">
            <w:pPr>
              <w:contextualSpacing w:val="0"/>
              <w:jc w:val="center"/>
            </w:pPr>
            <w:r w:rsidDel="00000000" w:rsidR="00000000" w:rsidRPr="00000000">
              <w:rPr>
                <w:rFonts w:ascii="Times New Roman" w:cs="Times New Roman" w:eastAsia="Times New Roman" w:hAnsi="Times New Roman"/>
                <w:rtl w:val="0"/>
              </w:rPr>
              <w:t xml:space="preserve">23</w:t>
            </w:r>
          </w:p>
        </w:tc>
        <w:tc>
          <w:tcPr/>
          <w:p w:rsidR="00000000" w:rsidDel="00000000" w:rsidP="00000000" w:rsidRDefault="00000000" w:rsidRPr="00000000">
            <w:pPr>
              <w:contextualSpacing w:val="0"/>
              <w:jc w:val="center"/>
            </w:pPr>
            <w:r w:rsidDel="00000000" w:rsidR="00000000" w:rsidRPr="00000000">
              <w:rPr>
                <w:rFonts w:ascii="Times New Roman" w:cs="Times New Roman" w:eastAsia="Times New Roman" w:hAnsi="Times New Roman"/>
                <w:rtl w:val="0"/>
              </w:rPr>
              <w:t xml:space="preserve">28</w:t>
            </w:r>
          </w:p>
        </w:tc>
        <w:tc>
          <w:tcPr/>
          <w:p w:rsidR="00000000" w:rsidDel="00000000" w:rsidP="00000000" w:rsidRDefault="00000000" w:rsidRPr="00000000">
            <w:pPr>
              <w:contextualSpacing w:val="0"/>
              <w:jc w:val="center"/>
            </w:pPr>
            <w:r w:rsidDel="00000000" w:rsidR="00000000" w:rsidRPr="00000000">
              <w:rPr>
                <w:rFonts w:ascii="Times New Roman" w:cs="Times New Roman" w:eastAsia="Times New Roman" w:hAnsi="Times New Roman"/>
                <w:rtl w:val="0"/>
              </w:rPr>
              <w:t xml:space="preserve">6</w:t>
            </w:r>
          </w:p>
        </w:tc>
        <w:tc>
          <w:tcPr/>
          <w:p w:rsidR="00000000" w:rsidDel="00000000" w:rsidP="00000000" w:rsidRDefault="00000000" w:rsidRPr="00000000">
            <w:pPr>
              <w:contextualSpacing w:val="0"/>
              <w:jc w:val="center"/>
            </w:pPr>
            <w:r w:rsidDel="00000000" w:rsidR="00000000" w:rsidRPr="00000000">
              <w:rPr>
                <w:rFonts w:ascii="Times New Roman" w:cs="Times New Roman" w:eastAsia="Times New Roman" w:hAnsi="Times New Roman"/>
                <w:rtl w:val="0"/>
              </w:rPr>
              <w:t xml:space="preserve">29</w:t>
            </w:r>
          </w:p>
        </w:tc>
        <w:tc>
          <w:tcPr/>
          <w:p w:rsidR="00000000" w:rsidDel="00000000" w:rsidP="00000000" w:rsidRDefault="00000000" w:rsidRPr="00000000">
            <w:pPr>
              <w:contextualSpacing w:val="0"/>
              <w:jc w:val="center"/>
            </w:pPr>
            <w:r w:rsidDel="00000000" w:rsidR="00000000" w:rsidRPr="00000000">
              <w:rPr>
                <w:rFonts w:ascii="Times New Roman" w:cs="Times New Roman" w:eastAsia="Times New Roman" w:hAnsi="Times New Roman"/>
                <w:rtl w:val="0"/>
              </w:rPr>
              <w:t xml:space="preserve">35</w:t>
            </w:r>
          </w:p>
        </w:tc>
      </w:tr>
      <w:tr>
        <w:tc>
          <w:tcPr/>
          <w:p w:rsidR="00000000" w:rsidDel="00000000" w:rsidP="00000000" w:rsidRDefault="00000000" w:rsidRPr="00000000">
            <w:pPr>
              <w:contextualSpacing w:val="0"/>
            </w:pPr>
            <w:r w:rsidDel="00000000" w:rsidR="00000000" w:rsidRPr="00000000">
              <w:rPr>
                <w:rFonts w:ascii="Times New Roman" w:cs="Times New Roman" w:eastAsia="Times New Roman" w:hAnsi="Times New Roman"/>
                <w:rtl w:val="0"/>
              </w:rPr>
              <w:t xml:space="preserve">Finland</w:t>
            </w:r>
          </w:p>
        </w:tc>
        <w:tc>
          <w:tcPr/>
          <w:p w:rsidR="00000000" w:rsidDel="00000000" w:rsidP="00000000" w:rsidRDefault="00000000" w:rsidRPr="00000000">
            <w:pPr>
              <w:contextualSpacing w:val="0"/>
              <w:jc w:val="center"/>
            </w:pPr>
            <w:r w:rsidDel="00000000" w:rsidR="00000000" w:rsidRPr="00000000">
              <w:rPr>
                <w:rFonts w:ascii="Times New Roman" w:cs="Times New Roman" w:eastAsia="Times New Roman" w:hAnsi="Times New Roman"/>
                <w:rtl w:val="0"/>
              </w:rPr>
              <w:t xml:space="preserve">17</w:t>
            </w:r>
          </w:p>
        </w:tc>
        <w:tc>
          <w:tcPr/>
          <w:p w:rsidR="00000000" w:rsidDel="00000000" w:rsidP="00000000" w:rsidRDefault="00000000" w:rsidRPr="00000000">
            <w:pPr>
              <w:contextualSpacing w:val="0"/>
              <w:jc w:val="center"/>
            </w:pPr>
            <w:r w:rsidDel="00000000" w:rsidR="00000000" w:rsidRPr="00000000">
              <w:rPr>
                <w:rFonts w:ascii="Times New Roman" w:cs="Times New Roman" w:eastAsia="Times New Roman" w:hAnsi="Times New Roman"/>
                <w:rtl w:val="0"/>
              </w:rPr>
              <w:t xml:space="preserve">16</w:t>
            </w:r>
          </w:p>
        </w:tc>
        <w:tc>
          <w:tcPr/>
          <w:p w:rsidR="00000000" w:rsidDel="00000000" w:rsidP="00000000" w:rsidRDefault="00000000" w:rsidRPr="00000000">
            <w:pPr>
              <w:contextualSpacing w:val="0"/>
              <w:jc w:val="center"/>
            </w:pPr>
            <w:r w:rsidDel="00000000" w:rsidR="00000000" w:rsidRPr="00000000">
              <w:rPr>
                <w:rFonts w:ascii="Times New Roman" w:cs="Times New Roman" w:eastAsia="Times New Roman" w:hAnsi="Times New Roman"/>
                <w:rtl w:val="0"/>
              </w:rPr>
              <w:t xml:space="preserve">33</w:t>
            </w:r>
          </w:p>
        </w:tc>
        <w:tc>
          <w:tcPr/>
          <w:p w:rsidR="00000000" w:rsidDel="00000000" w:rsidP="00000000" w:rsidRDefault="00000000" w:rsidRPr="00000000">
            <w:pPr>
              <w:contextualSpacing w:val="0"/>
              <w:jc w:val="center"/>
            </w:pPr>
            <w:r w:rsidDel="00000000" w:rsidR="00000000" w:rsidRPr="00000000">
              <w:rPr>
                <w:rFonts w:ascii="Times New Roman" w:cs="Times New Roman" w:eastAsia="Times New Roman" w:hAnsi="Times New Roman"/>
                <w:rtl w:val="0"/>
              </w:rPr>
              <w:t xml:space="preserve">13</w:t>
            </w:r>
          </w:p>
        </w:tc>
        <w:tc>
          <w:tcPr/>
          <w:p w:rsidR="00000000" w:rsidDel="00000000" w:rsidP="00000000" w:rsidRDefault="00000000" w:rsidRPr="00000000">
            <w:pPr>
              <w:contextualSpacing w:val="0"/>
              <w:jc w:val="center"/>
            </w:pPr>
            <w:r w:rsidDel="00000000" w:rsidR="00000000" w:rsidRPr="00000000">
              <w:rPr>
                <w:rFonts w:ascii="Times New Roman" w:cs="Times New Roman" w:eastAsia="Times New Roman" w:hAnsi="Times New Roman"/>
                <w:rtl w:val="0"/>
              </w:rPr>
              <w:t xml:space="preserve">26</w:t>
            </w:r>
          </w:p>
        </w:tc>
        <w:tc>
          <w:tcPr/>
          <w:p w:rsidR="00000000" w:rsidDel="00000000" w:rsidP="00000000" w:rsidRDefault="00000000" w:rsidRPr="00000000">
            <w:pPr>
              <w:contextualSpacing w:val="0"/>
              <w:jc w:val="center"/>
            </w:pPr>
            <w:r w:rsidDel="00000000" w:rsidR="00000000" w:rsidRPr="00000000">
              <w:rPr>
                <w:rFonts w:ascii="Times New Roman" w:cs="Times New Roman" w:eastAsia="Times New Roman" w:hAnsi="Times New Roman"/>
                <w:rtl w:val="0"/>
              </w:rPr>
              <w:t xml:space="preserve">40</w:t>
            </w:r>
          </w:p>
        </w:tc>
      </w:tr>
      <w:tr>
        <w:tc>
          <w:tcPr/>
          <w:p w:rsidR="00000000" w:rsidDel="00000000" w:rsidP="00000000" w:rsidRDefault="00000000" w:rsidRPr="00000000">
            <w:pPr>
              <w:contextualSpacing w:val="0"/>
            </w:pPr>
            <w:r w:rsidDel="00000000" w:rsidR="00000000" w:rsidRPr="00000000">
              <w:rPr>
                <w:rFonts w:ascii="Times New Roman" w:cs="Times New Roman" w:eastAsia="Times New Roman" w:hAnsi="Times New Roman"/>
                <w:rtl w:val="0"/>
              </w:rPr>
              <w:t xml:space="preserve">France</w:t>
            </w:r>
          </w:p>
        </w:tc>
        <w:tc>
          <w:tcPr/>
          <w:p w:rsidR="00000000" w:rsidDel="00000000" w:rsidP="00000000" w:rsidRDefault="00000000" w:rsidRPr="00000000">
            <w:pPr>
              <w:contextualSpacing w:val="0"/>
              <w:jc w:val="center"/>
            </w:pPr>
            <w:r w:rsidDel="00000000" w:rsidR="00000000" w:rsidRPr="00000000">
              <w:rPr>
                <w:rFonts w:ascii="Times New Roman" w:cs="Times New Roman" w:eastAsia="Times New Roman" w:hAnsi="Times New Roman"/>
                <w:rtl w:val="0"/>
              </w:rPr>
              <w:t xml:space="preserve">12</w:t>
            </w:r>
          </w:p>
        </w:tc>
        <w:tc>
          <w:tcPr/>
          <w:p w:rsidR="00000000" w:rsidDel="00000000" w:rsidP="00000000" w:rsidRDefault="00000000" w:rsidRPr="00000000">
            <w:pPr>
              <w:contextualSpacing w:val="0"/>
              <w:jc w:val="center"/>
            </w:pPr>
            <w:r w:rsidDel="00000000" w:rsidR="00000000" w:rsidRPr="00000000">
              <w:rPr>
                <w:rFonts w:ascii="Times New Roman" w:cs="Times New Roman" w:eastAsia="Times New Roman" w:hAnsi="Times New Roman"/>
                <w:rtl w:val="0"/>
              </w:rPr>
              <w:t xml:space="preserve">12</w:t>
            </w:r>
          </w:p>
        </w:tc>
        <w:tc>
          <w:tcPr/>
          <w:p w:rsidR="00000000" w:rsidDel="00000000" w:rsidP="00000000" w:rsidRDefault="00000000" w:rsidRPr="00000000">
            <w:pPr>
              <w:contextualSpacing w:val="0"/>
              <w:jc w:val="center"/>
            </w:pPr>
            <w:r w:rsidDel="00000000" w:rsidR="00000000" w:rsidRPr="00000000">
              <w:rPr>
                <w:rFonts w:ascii="Times New Roman" w:cs="Times New Roman" w:eastAsia="Times New Roman" w:hAnsi="Times New Roman"/>
                <w:rtl w:val="0"/>
              </w:rPr>
              <w:t xml:space="preserve">24</w:t>
            </w:r>
          </w:p>
        </w:tc>
        <w:tc>
          <w:tcPr/>
          <w:p w:rsidR="00000000" w:rsidDel="00000000" w:rsidP="00000000" w:rsidRDefault="00000000" w:rsidRPr="00000000">
            <w:pPr>
              <w:contextualSpacing w:val="0"/>
              <w:jc w:val="center"/>
            </w:pPr>
            <w:r w:rsidDel="00000000" w:rsidR="00000000" w:rsidRPr="00000000">
              <w:rPr>
                <w:rFonts w:ascii="Times New Roman" w:cs="Times New Roman" w:eastAsia="Times New Roman" w:hAnsi="Times New Roman"/>
                <w:rtl w:val="0"/>
              </w:rPr>
              <w:t xml:space="preserve">12</w:t>
            </w:r>
          </w:p>
        </w:tc>
        <w:tc>
          <w:tcPr/>
          <w:p w:rsidR="00000000" w:rsidDel="00000000" w:rsidP="00000000" w:rsidRDefault="00000000" w:rsidRPr="00000000">
            <w:pPr>
              <w:contextualSpacing w:val="0"/>
              <w:jc w:val="center"/>
            </w:pPr>
            <w:r w:rsidDel="00000000" w:rsidR="00000000" w:rsidRPr="00000000">
              <w:rPr>
                <w:rFonts w:ascii="Times New Roman" w:cs="Times New Roman" w:eastAsia="Times New Roman" w:hAnsi="Times New Roman"/>
                <w:rtl w:val="0"/>
              </w:rPr>
              <w:t xml:space="preserve">19</w:t>
            </w:r>
          </w:p>
        </w:tc>
        <w:tc>
          <w:tcPr/>
          <w:p w:rsidR="00000000" w:rsidDel="00000000" w:rsidP="00000000" w:rsidRDefault="00000000" w:rsidRPr="00000000">
            <w:pPr>
              <w:contextualSpacing w:val="0"/>
              <w:jc w:val="center"/>
            </w:pPr>
            <w:r w:rsidDel="00000000" w:rsidR="00000000" w:rsidRPr="00000000">
              <w:rPr>
                <w:rFonts w:ascii="Times New Roman" w:cs="Times New Roman" w:eastAsia="Times New Roman" w:hAnsi="Times New Roman"/>
                <w:rtl w:val="0"/>
              </w:rPr>
              <w:t xml:space="preserve">31</w:t>
            </w:r>
          </w:p>
        </w:tc>
      </w:tr>
      <w:tr>
        <w:tc>
          <w:tcPr/>
          <w:p w:rsidR="00000000" w:rsidDel="00000000" w:rsidP="00000000" w:rsidRDefault="00000000" w:rsidRPr="00000000">
            <w:pPr>
              <w:contextualSpacing w:val="0"/>
            </w:pPr>
            <w:r w:rsidDel="00000000" w:rsidR="00000000" w:rsidRPr="00000000">
              <w:rPr>
                <w:rFonts w:ascii="Times New Roman" w:cs="Times New Roman" w:eastAsia="Times New Roman" w:hAnsi="Times New Roman"/>
                <w:rtl w:val="0"/>
              </w:rPr>
              <w:t xml:space="preserve">Germany</w:t>
            </w:r>
          </w:p>
        </w:tc>
        <w:tc>
          <w:tcPr/>
          <w:p w:rsidR="00000000" w:rsidDel="00000000" w:rsidP="00000000" w:rsidRDefault="00000000" w:rsidRPr="00000000">
            <w:pPr>
              <w:contextualSpacing w:val="0"/>
              <w:jc w:val="center"/>
            </w:pPr>
            <w:r w:rsidDel="00000000" w:rsidR="00000000" w:rsidRPr="00000000">
              <w:rPr>
                <w:rFonts w:ascii="Times New Roman" w:cs="Times New Roman" w:eastAsia="Times New Roman" w:hAnsi="Times New Roman"/>
                <w:rtl w:val="0"/>
              </w:rPr>
              <w:t xml:space="preserve">10</w:t>
            </w:r>
          </w:p>
        </w:tc>
        <w:tc>
          <w:tcPr/>
          <w:p w:rsidR="00000000" w:rsidDel="00000000" w:rsidP="00000000" w:rsidRDefault="00000000" w:rsidRPr="00000000">
            <w:pPr>
              <w:contextualSpacing w:val="0"/>
              <w:jc w:val="center"/>
            </w:pPr>
            <w:r w:rsidDel="00000000" w:rsidR="00000000" w:rsidRPr="00000000">
              <w:rPr>
                <w:rFonts w:ascii="Times New Roman" w:cs="Times New Roman" w:eastAsia="Times New Roman" w:hAnsi="Times New Roman"/>
                <w:rtl w:val="0"/>
              </w:rPr>
              <w:t xml:space="preserve">13</w:t>
            </w:r>
          </w:p>
        </w:tc>
        <w:tc>
          <w:tcPr/>
          <w:p w:rsidR="00000000" w:rsidDel="00000000" w:rsidP="00000000" w:rsidRDefault="00000000" w:rsidRPr="00000000">
            <w:pPr>
              <w:contextualSpacing w:val="0"/>
              <w:jc w:val="center"/>
            </w:pPr>
            <w:r w:rsidDel="00000000" w:rsidR="00000000" w:rsidRPr="00000000">
              <w:rPr>
                <w:rFonts w:ascii="Times New Roman" w:cs="Times New Roman" w:eastAsia="Times New Roman" w:hAnsi="Times New Roman"/>
                <w:rtl w:val="0"/>
              </w:rPr>
              <w:t xml:space="preserve">23</w:t>
            </w:r>
          </w:p>
        </w:tc>
        <w:tc>
          <w:tcPr/>
          <w:p w:rsidR="00000000" w:rsidDel="00000000" w:rsidP="00000000" w:rsidRDefault="00000000" w:rsidRPr="00000000">
            <w:pPr>
              <w:contextualSpacing w:val="0"/>
              <w:jc w:val="center"/>
            </w:pPr>
            <w:r w:rsidDel="00000000" w:rsidR="00000000" w:rsidRPr="00000000">
              <w:rPr>
                <w:rFonts w:ascii="Times New Roman" w:cs="Times New Roman" w:eastAsia="Times New Roman" w:hAnsi="Times New Roman"/>
                <w:rtl w:val="0"/>
              </w:rPr>
              <w:t xml:space="preserve">11</w:t>
            </w:r>
          </w:p>
        </w:tc>
        <w:tc>
          <w:tcPr/>
          <w:p w:rsidR="00000000" w:rsidDel="00000000" w:rsidP="00000000" w:rsidRDefault="00000000" w:rsidRPr="00000000">
            <w:pPr>
              <w:contextualSpacing w:val="0"/>
              <w:jc w:val="center"/>
            </w:pPr>
            <w:r w:rsidDel="00000000" w:rsidR="00000000" w:rsidRPr="00000000">
              <w:rPr>
                <w:rFonts w:ascii="Times New Roman" w:cs="Times New Roman" w:eastAsia="Times New Roman" w:hAnsi="Times New Roman"/>
                <w:rtl w:val="0"/>
              </w:rPr>
              <w:t xml:space="preserve">17</w:t>
            </w:r>
          </w:p>
        </w:tc>
        <w:tc>
          <w:tcPr/>
          <w:p w:rsidR="00000000" w:rsidDel="00000000" w:rsidP="00000000" w:rsidRDefault="00000000" w:rsidRPr="00000000">
            <w:pPr>
              <w:contextualSpacing w:val="0"/>
              <w:jc w:val="center"/>
            </w:pPr>
            <w:r w:rsidDel="00000000" w:rsidR="00000000" w:rsidRPr="00000000">
              <w:rPr>
                <w:rFonts w:ascii="Times New Roman" w:cs="Times New Roman" w:eastAsia="Times New Roman" w:hAnsi="Times New Roman"/>
                <w:rtl w:val="0"/>
              </w:rPr>
              <w:t xml:space="preserve">28</w:t>
            </w:r>
          </w:p>
        </w:tc>
      </w:tr>
      <w:tr>
        <w:tc>
          <w:tcPr/>
          <w:p w:rsidR="00000000" w:rsidDel="00000000" w:rsidP="00000000" w:rsidRDefault="00000000" w:rsidRPr="00000000">
            <w:pPr>
              <w:contextualSpacing w:val="0"/>
            </w:pPr>
            <w:r w:rsidDel="00000000" w:rsidR="00000000" w:rsidRPr="00000000">
              <w:rPr>
                <w:rFonts w:ascii="Times New Roman" w:cs="Times New Roman" w:eastAsia="Times New Roman" w:hAnsi="Times New Roman"/>
                <w:rtl w:val="0"/>
              </w:rPr>
              <w:t xml:space="preserve">Greece</w:t>
            </w:r>
          </w:p>
        </w:tc>
        <w:tc>
          <w:tcPr/>
          <w:p w:rsidR="00000000" w:rsidDel="00000000" w:rsidP="00000000" w:rsidRDefault="00000000" w:rsidRPr="00000000">
            <w:pPr>
              <w:contextualSpacing w:val="0"/>
              <w:jc w:val="center"/>
            </w:pPr>
            <w:r w:rsidDel="00000000" w:rsidR="00000000" w:rsidRPr="00000000">
              <w:rPr>
                <w:rFonts w:ascii="Times New Roman" w:cs="Times New Roman" w:eastAsia="Times New Roman" w:hAnsi="Times New Roman"/>
                <w:rtl w:val="0"/>
              </w:rPr>
              <w:t xml:space="preserve">6</w:t>
            </w:r>
          </w:p>
        </w:tc>
        <w:tc>
          <w:tcPr/>
          <w:p w:rsidR="00000000" w:rsidDel="00000000" w:rsidP="00000000" w:rsidRDefault="00000000" w:rsidRPr="00000000">
            <w:pPr>
              <w:contextualSpacing w:val="0"/>
              <w:jc w:val="center"/>
            </w:pPr>
            <w:r w:rsidDel="00000000" w:rsidR="00000000" w:rsidRPr="00000000">
              <w:rPr>
                <w:rFonts w:ascii="Times New Roman" w:cs="Times New Roman" w:eastAsia="Times New Roman" w:hAnsi="Times New Roman"/>
                <w:rtl w:val="0"/>
              </w:rPr>
              <w:t xml:space="preserve">13</w:t>
            </w:r>
          </w:p>
        </w:tc>
        <w:tc>
          <w:tcPr/>
          <w:p w:rsidR="00000000" w:rsidDel="00000000" w:rsidP="00000000" w:rsidRDefault="00000000" w:rsidRPr="00000000">
            <w:pPr>
              <w:contextualSpacing w:val="0"/>
              <w:jc w:val="center"/>
            </w:pPr>
            <w:r w:rsidDel="00000000" w:rsidR="00000000" w:rsidRPr="00000000">
              <w:rPr>
                <w:rFonts w:ascii="Times New Roman" w:cs="Times New Roman" w:eastAsia="Times New Roman" w:hAnsi="Times New Roman"/>
                <w:rtl w:val="0"/>
              </w:rPr>
              <w:t xml:space="preserve">19</w:t>
            </w:r>
          </w:p>
        </w:tc>
        <w:tc>
          <w:tcPr/>
          <w:p w:rsidR="00000000" w:rsidDel="00000000" w:rsidP="00000000" w:rsidRDefault="00000000" w:rsidRPr="00000000">
            <w:pPr>
              <w:contextualSpacing w:val="0"/>
              <w:jc w:val="center"/>
            </w:pPr>
            <w:r w:rsidDel="00000000" w:rsidR="00000000" w:rsidRPr="00000000">
              <w:rPr>
                <w:rFonts w:ascii="Times New Roman" w:cs="Times New Roman" w:eastAsia="Times New Roman" w:hAnsi="Times New Roman"/>
                <w:rtl w:val="0"/>
              </w:rPr>
              <w:t xml:space="preserve">9</w:t>
            </w:r>
          </w:p>
        </w:tc>
        <w:tc>
          <w:tcPr/>
          <w:p w:rsidR="00000000" w:rsidDel="00000000" w:rsidP="00000000" w:rsidRDefault="00000000" w:rsidRPr="00000000">
            <w:pPr>
              <w:contextualSpacing w:val="0"/>
              <w:jc w:val="center"/>
            </w:pPr>
            <w:r w:rsidDel="00000000" w:rsidR="00000000" w:rsidRPr="00000000">
              <w:rPr>
                <w:rFonts w:ascii="Times New Roman" w:cs="Times New Roman" w:eastAsia="Times New Roman" w:hAnsi="Times New Roman"/>
                <w:rtl w:val="0"/>
              </w:rPr>
              <w:t xml:space="preserve">18</w:t>
            </w:r>
          </w:p>
        </w:tc>
        <w:tc>
          <w:tcPr/>
          <w:p w:rsidR="00000000" w:rsidDel="00000000" w:rsidP="00000000" w:rsidRDefault="00000000" w:rsidRPr="00000000">
            <w:pPr>
              <w:contextualSpacing w:val="0"/>
              <w:jc w:val="center"/>
            </w:pPr>
            <w:r w:rsidDel="00000000" w:rsidR="00000000" w:rsidRPr="00000000">
              <w:rPr>
                <w:rFonts w:ascii="Times New Roman" w:cs="Times New Roman" w:eastAsia="Times New Roman" w:hAnsi="Times New Roman"/>
                <w:rtl w:val="0"/>
              </w:rPr>
              <w:t xml:space="preserve">27</w:t>
            </w:r>
          </w:p>
        </w:tc>
      </w:tr>
      <w:tr>
        <w:tc>
          <w:tcPr/>
          <w:p w:rsidR="00000000" w:rsidDel="00000000" w:rsidP="00000000" w:rsidRDefault="00000000" w:rsidRPr="00000000">
            <w:pPr>
              <w:contextualSpacing w:val="0"/>
            </w:pPr>
            <w:r w:rsidDel="00000000" w:rsidR="00000000" w:rsidRPr="00000000">
              <w:rPr>
                <w:rFonts w:ascii="Times New Roman" w:cs="Times New Roman" w:eastAsia="Times New Roman" w:hAnsi="Times New Roman"/>
                <w:rtl w:val="0"/>
              </w:rPr>
              <w:t xml:space="preserve">Iceland</w:t>
            </w:r>
          </w:p>
        </w:tc>
        <w:tc>
          <w:tcPr/>
          <w:p w:rsidR="00000000" w:rsidDel="00000000" w:rsidP="00000000" w:rsidRDefault="00000000" w:rsidRPr="00000000">
            <w:pPr>
              <w:contextualSpacing w:val="0"/>
              <w:jc w:val="center"/>
            </w:pPr>
            <w:r w:rsidDel="00000000" w:rsidR="00000000" w:rsidRPr="00000000">
              <w:rPr>
                <w:rFonts w:ascii="Times New Roman" w:cs="Times New Roman" w:eastAsia="Times New Roman" w:hAnsi="Times New Roman"/>
                <w:rtl w:val="0"/>
              </w:rPr>
              <w:t xml:space="preserve">6</w:t>
            </w:r>
          </w:p>
        </w:tc>
        <w:tc>
          <w:tcPr/>
          <w:p w:rsidR="00000000" w:rsidDel="00000000" w:rsidP="00000000" w:rsidRDefault="00000000" w:rsidRPr="00000000">
            <w:pPr>
              <w:contextualSpacing w:val="0"/>
              <w:jc w:val="center"/>
            </w:pPr>
            <w:r w:rsidDel="00000000" w:rsidR="00000000" w:rsidRPr="00000000">
              <w:rPr>
                <w:rFonts w:ascii="Times New Roman" w:cs="Times New Roman" w:eastAsia="Times New Roman" w:hAnsi="Times New Roman"/>
                <w:rtl w:val="0"/>
              </w:rPr>
              <w:t xml:space="preserve">20</w:t>
            </w:r>
          </w:p>
        </w:tc>
        <w:tc>
          <w:tcPr/>
          <w:p w:rsidR="00000000" w:rsidDel="00000000" w:rsidP="00000000" w:rsidRDefault="00000000" w:rsidRPr="00000000">
            <w:pPr>
              <w:contextualSpacing w:val="0"/>
              <w:jc w:val="center"/>
            </w:pPr>
            <w:r w:rsidDel="00000000" w:rsidR="00000000" w:rsidRPr="00000000">
              <w:rPr>
                <w:rFonts w:ascii="Times New Roman" w:cs="Times New Roman" w:eastAsia="Times New Roman" w:hAnsi="Times New Roman"/>
                <w:rtl w:val="0"/>
              </w:rPr>
              <w:t xml:space="preserve">26</w:t>
            </w:r>
          </w:p>
        </w:tc>
        <w:tc>
          <w:tcPr/>
          <w:p w:rsidR="00000000" w:rsidDel="00000000" w:rsidP="00000000" w:rsidRDefault="00000000" w:rsidRPr="00000000">
            <w:pPr>
              <w:contextualSpacing w:val="0"/>
              <w:jc w:val="center"/>
            </w:pPr>
            <w:r w:rsidDel="00000000" w:rsidR="00000000" w:rsidRPr="00000000">
              <w:rPr>
                <w:rFonts w:ascii="Times New Roman" w:cs="Times New Roman" w:eastAsia="Times New Roman" w:hAnsi="Times New Roman"/>
                <w:rtl w:val="0"/>
              </w:rPr>
              <w:t xml:space="preserve">4</w:t>
            </w:r>
          </w:p>
        </w:tc>
        <w:tc>
          <w:tcPr/>
          <w:p w:rsidR="00000000" w:rsidDel="00000000" w:rsidP="00000000" w:rsidRDefault="00000000" w:rsidRPr="00000000">
            <w:pPr>
              <w:contextualSpacing w:val="0"/>
              <w:jc w:val="center"/>
            </w:pPr>
            <w:r w:rsidDel="00000000" w:rsidR="00000000" w:rsidRPr="00000000">
              <w:rPr>
                <w:rFonts w:ascii="Times New Roman" w:cs="Times New Roman" w:eastAsia="Times New Roman" w:hAnsi="Times New Roman"/>
                <w:rtl w:val="0"/>
              </w:rPr>
              <w:t xml:space="preserve">31</w:t>
            </w:r>
          </w:p>
        </w:tc>
        <w:tc>
          <w:tcPr/>
          <w:p w:rsidR="00000000" w:rsidDel="00000000" w:rsidP="00000000" w:rsidRDefault="00000000" w:rsidRPr="00000000">
            <w:pPr>
              <w:contextualSpacing w:val="0"/>
              <w:jc w:val="center"/>
            </w:pPr>
            <w:r w:rsidDel="00000000" w:rsidR="00000000" w:rsidRPr="00000000">
              <w:rPr>
                <w:rFonts w:ascii="Times New Roman" w:cs="Times New Roman" w:eastAsia="Times New Roman" w:hAnsi="Times New Roman"/>
                <w:rtl w:val="0"/>
              </w:rPr>
              <w:t xml:space="preserve">35</w:t>
            </w:r>
          </w:p>
        </w:tc>
      </w:tr>
      <w:tr>
        <w:tc>
          <w:tcPr/>
          <w:p w:rsidR="00000000" w:rsidDel="00000000" w:rsidP="00000000" w:rsidRDefault="00000000" w:rsidRPr="00000000">
            <w:pPr>
              <w:contextualSpacing w:val="0"/>
            </w:pPr>
            <w:r w:rsidDel="00000000" w:rsidR="00000000" w:rsidRPr="00000000">
              <w:rPr>
                <w:rFonts w:ascii="Times New Roman" w:cs="Times New Roman" w:eastAsia="Times New Roman" w:hAnsi="Times New Roman"/>
                <w:rtl w:val="0"/>
              </w:rPr>
              <w:t xml:space="preserve">Ireland</w:t>
            </w:r>
          </w:p>
        </w:tc>
        <w:tc>
          <w:tcPr/>
          <w:p w:rsidR="00000000" w:rsidDel="00000000" w:rsidP="00000000" w:rsidRDefault="00000000" w:rsidRPr="00000000">
            <w:pPr>
              <w:contextualSpacing w:val="0"/>
              <w:jc w:val="center"/>
            </w:pPr>
            <w:r w:rsidDel="00000000" w:rsidR="00000000" w:rsidRPr="00000000">
              <w:rPr>
                <w:rFonts w:ascii="Times New Roman" w:cs="Times New Roman" w:eastAsia="Times New Roman" w:hAnsi="Times New Roman"/>
                <w:rtl w:val="0"/>
              </w:rPr>
              <w:t xml:space="preserve">10</w:t>
            </w:r>
          </w:p>
        </w:tc>
        <w:tc>
          <w:tcPr/>
          <w:p w:rsidR="00000000" w:rsidDel="00000000" w:rsidP="00000000" w:rsidRDefault="00000000" w:rsidRPr="00000000">
            <w:pPr>
              <w:contextualSpacing w:val="0"/>
              <w:jc w:val="center"/>
            </w:pPr>
            <w:r w:rsidDel="00000000" w:rsidR="00000000" w:rsidRPr="00000000">
              <w:rPr>
                <w:rFonts w:ascii="Times New Roman" w:cs="Times New Roman" w:eastAsia="Times New Roman" w:hAnsi="Times New Roman"/>
                <w:rtl w:val="0"/>
              </w:rPr>
              <w:t xml:space="preserve">16</w:t>
            </w:r>
          </w:p>
        </w:tc>
        <w:tc>
          <w:tcPr/>
          <w:p w:rsidR="00000000" w:rsidDel="00000000" w:rsidP="00000000" w:rsidRDefault="00000000" w:rsidRPr="00000000">
            <w:pPr>
              <w:contextualSpacing w:val="0"/>
              <w:jc w:val="center"/>
            </w:pPr>
            <w:r w:rsidDel="00000000" w:rsidR="00000000" w:rsidRPr="00000000">
              <w:rPr>
                <w:rFonts w:ascii="Times New Roman" w:cs="Times New Roman" w:eastAsia="Times New Roman" w:hAnsi="Times New Roman"/>
                <w:rtl w:val="0"/>
              </w:rPr>
              <w:t xml:space="preserve">26</w:t>
            </w:r>
          </w:p>
        </w:tc>
        <w:tc>
          <w:tcPr/>
          <w:p w:rsidR="00000000" w:rsidDel="00000000" w:rsidP="00000000" w:rsidRDefault="00000000" w:rsidRPr="00000000">
            <w:pPr>
              <w:contextualSpacing w:val="0"/>
              <w:jc w:val="center"/>
            </w:pPr>
            <w:r w:rsidDel="00000000" w:rsidR="00000000" w:rsidRPr="00000000">
              <w:rPr>
                <w:rFonts w:ascii="Times New Roman" w:cs="Times New Roman" w:eastAsia="Times New Roman" w:hAnsi="Times New Roman"/>
                <w:rtl w:val="0"/>
              </w:rPr>
              <w:t xml:space="preserve">15</w:t>
            </w:r>
          </w:p>
        </w:tc>
        <w:tc>
          <w:tcPr/>
          <w:p w:rsidR="00000000" w:rsidDel="00000000" w:rsidP="00000000" w:rsidRDefault="00000000" w:rsidRPr="00000000">
            <w:pPr>
              <w:contextualSpacing w:val="0"/>
              <w:jc w:val="center"/>
            </w:pPr>
            <w:r w:rsidDel="00000000" w:rsidR="00000000" w:rsidRPr="00000000">
              <w:rPr>
                <w:rFonts w:ascii="Times New Roman" w:cs="Times New Roman" w:eastAsia="Times New Roman" w:hAnsi="Times New Roman"/>
                <w:rtl w:val="0"/>
              </w:rPr>
              <w:t xml:space="preserve">25</w:t>
            </w:r>
          </w:p>
        </w:tc>
        <w:tc>
          <w:tcPr/>
          <w:p w:rsidR="00000000" w:rsidDel="00000000" w:rsidP="00000000" w:rsidRDefault="00000000" w:rsidRPr="00000000">
            <w:pPr>
              <w:contextualSpacing w:val="0"/>
              <w:jc w:val="center"/>
            </w:pPr>
            <w:r w:rsidDel="00000000" w:rsidR="00000000" w:rsidRPr="00000000">
              <w:rPr>
                <w:rFonts w:ascii="Times New Roman" w:cs="Times New Roman" w:eastAsia="Times New Roman" w:hAnsi="Times New Roman"/>
                <w:rtl w:val="0"/>
              </w:rPr>
              <w:t xml:space="preserve">40</w:t>
            </w:r>
          </w:p>
        </w:tc>
      </w:tr>
      <w:tr>
        <w:tc>
          <w:tcPr/>
          <w:p w:rsidR="00000000" w:rsidDel="00000000" w:rsidP="00000000" w:rsidRDefault="00000000" w:rsidRPr="00000000">
            <w:pPr>
              <w:contextualSpacing w:val="0"/>
            </w:pPr>
            <w:r w:rsidDel="00000000" w:rsidR="00000000" w:rsidRPr="00000000">
              <w:rPr>
                <w:rFonts w:ascii="Times New Roman" w:cs="Times New Roman" w:eastAsia="Times New Roman" w:hAnsi="Times New Roman"/>
                <w:rtl w:val="0"/>
              </w:rPr>
              <w:t xml:space="preserve">Japan</w:t>
            </w:r>
          </w:p>
        </w:tc>
        <w:tc>
          <w:tcPr/>
          <w:p w:rsidR="00000000" w:rsidDel="00000000" w:rsidP="00000000" w:rsidRDefault="00000000" w:rsidRPr="00000000">
            <w:pPr>
              <w:contextualSpacing w:val="0"/>
              <w:jc w:val="center"/>
            </w:pPr>
            <w:r w:rsidDel="00000000" w:rsidR="00000000" w:rsidRPr="00000000">
              <w:rPr>
                <w:rFonts w:ascii="Times New Roman" w:cs="Times New Roman" w:eastAsia="Times New Roman" w:hAnsi="Times New Roman"/>
                <w:rtl w:val="0"/>
              </w:rPr>
              <w:t xml:space="preserve">16</w:t>
            </w:r>
          </w:p>
        </w:tc>
        <w:tc>
          <w:tcPr/>
          <w:p w:rsidR="00000000" w:rsidDel="00000000" w:rsidP="00000000" w:rsidRDefault="00000000" w:rsidRPr="00000000">
            <w:pPr>
              <w:contextualSpacing w:val="0"/>
              <w:jc w:val="center"/>
            </w:pPr>
            <w:r w:rsidDel="00000000" w:rsidR="00000000" w:rsidRPr="00000000">
              <w:rPr>
                <w:rFonts w:ascii="Times New Roman" w:cs="Times New Roman" w:eastAsia="Times New Roman" w:hAnsi="Times New Roman"/>
                <w:rtl w:val="0"/>
              </w:rPr>
              <w:t xml:space="preserve">20</w:t>
            </w:r>
          </w:p>
        </w:tc>
        <w:tc>
          <w:tcPr/>
          <w:p w:rsidR="00000000" w:rsidDel="00000000" w:rsidP="00000000" w:rsidRDefault="00000000" w:rsidRPr="00000000">
            <w:pPr>
              <w:contextualSpacing w:val="0"/>
              <w:jc w:val="center"/>
            </w:pPr>
            <w:r w:rsidDel="00000000" w:rsidR="00000000" w:rsidRPr="00000000">
              <w:rPr>
                <w:rFonts w:ascii="Times New Roman" w:cs="Times New Roman" w:eastAsia="Times New Roman" w:hAnsi="Times New Roman"/>
                <w:rtl w:val="0"/>
              </w:rPr>
              <w:t xml:space="preserve">36</w:t>
            </w:r>
          </w:p>
        </w:tc>
        <w:tc>
          <w:tcPr/>
          <w:p w:rsidR="00000000" w:rsidDel="00000000" w:rsidP="00000000" w:rsidRDefault="00000000" w:rsidRPr="00000000">
            <w:pPr>
              <w:contextualSpacing w:val="0"/>
              <w:jc w:val="center"/>
            </w:pPr>
            <w:r w:rsidDel="00000000" w:rsidR="00000000" w:rsidRPr="00000000">
              <w:rPr>
                <w:rFonts w:ascii="Times New Roman" w:cs="Times New Roman" w:eastAsia="Times New Roman" w:hAnsi="Times New Roman"/>
                <w:rtl w:val="0"/>
              </w:rPr>
              <w:t xml:space="preserve">20</w:t>
            </w:r>
          </w:p>
        </w:tc>
        <w:tc>
          <w:tcPr/>
          <w:p w:rsidR="00000000" w:rsidDel="00000000" w:rsidP="00000000" w:rsidRDefault="00000000" w:rsidRPr="00000000">
            <w:pPr>
              <w:contextualSpacing w:val="0"/>
              <w:jc w:val="center"/>
            </w:pPr>
            <w:r w:rsidDel="00000000" w:rsidR="00000000" w:rsidRPr="00000000">
              <w:rPr>
                <w:rFonts w:ascii="Times New Roman" w:cs="Times New Roman" w:eastAsia="Times New Roman" w:hAnsi="Times New Roman"/>
                <w:rtl w:val="0"/>
              </w:rPr>
              <w:t xml:space="preserve">26</w:t>
            </w:r>
          </w:p>
        </w:tc>
        <w:tc>
          <w:tcPr/>
          <w:p w:rsidR="00000000" w:rsidDel="00000000" w:rsidP="00000000" w:rsidRDefault="00000000" w:rsidRPr="00000000">
            <w:pPr>
              <w:contextualSpacing w:val="0"/>
              <w:jc w:val="center"/>
            </w:pPr>
            <w:r w:rsidDel="00000000" w:rsidR="00000000" w:rsidRPr="00000000">
              <w:rPr>
                <w:rFonts w:ascii="Times New Roman" w:cs="Times New Roman" w:eastAsia="Times New Roman" w:hAnsi="Times New Roman"/>
                <w:rtl w:val="0"/>
              </w:rPr>
              <w:t xml:space="preserve">47</w:t>
            </w:r>
          </w:p>
        </w:tc>
      </w:tr>
      <w:tr>
        <w:tc>
          <w:tcPr/>
          <w:p w:rsidR="00000000" w:rsidDel="00000000" w:rsidP="00000000" w:rsidRDefault="00000000" w:rsidRPr="00000000">
            <w:pPr>
              <w:contextualSpacing w:val="0"/>
            </w:pPr>
            <w:r w:rsidDel="00000000" w:rsidR="00000000" w:rsidRPr="00000000">
              <w:rPr>
                <w:rFonts w:ascii="Times New Roman" w:cs="Times New Roman" w:eastAsia="Times New Roman" w:hAnsi="Times New Roman"/>
                <w:rtl w:val="0"/>
              </w:rPr>
              <w:t xml:space="preserve">Korea</w:t>
            </w:r>
          </w:p>
        </w:tc>
        <w:tc>
          <w:tcPr/>
          <w:p w:rsidR="00000000" w:rsidDel="00000000" w:rsidP="00000000" w:rsidRDefault="00000000" w:rsidRPr="00000000">
            <w:pPr>
              <w:contextualSpacing w:val="0"/>
              <w:jc w:val="center"/>
            </w:pPr>
            <w:r w:rsidDel="00000000" w:rsidR="00000000" w:rsidRPr="00000000">
              <w:rPr>
                <w:rFonts w:ascii="Times New Roman" w:cs="Times New Roman" w:eastAsia="Times New Roman" w:hAnsi="Times New Roman"/>
                <w:rtl w:val="0"/>
              </w:rPr>
              <w:t xml:space="preserve">8</w:t>
            </w:r>
          </w:p>
        </w:tc>
        <w:tc>
          <w:tcPr/>
          <w:p w:rsidR="00000000" w:rsidDel="00000000" w:rsidP="00000000" w:rsidRDefault="00000000" w:rsidRPr="00000000">
            <w:pPr>
              <w:contextualSpacing w:val="0"/>
              <w:jc w:val="center"/>
            </w:pPr>
            <w:r w:rsidDel="00000000" w:rsidR="00000000" w:rsidRPr="00000000">
              <w:rPr>
                <w:rFonts w:ascii="Times New Roman" w:cs="Times New Roman" w:eastAsia="Times New Roman" w:hAnsi="Times New Roman"/>
                <w:rtl w:val="0"/>
              </w:rPr>
              <w:t xml:space="preserve">18</w:t>
            </w:r>
          </w:p>
        </w:tc>
        <w:tc>
          <w:tcPr/>
          <w:p w:rsidR="00000000" w:rsidDel="00000000" w:rsidP="00000000" w:rsidRDefault="00000000" w:rsidRPr="00000000">
            <w:pPr>
              <w:contextualSpacing w:val="0"/>
              <w:jc w:val="center"/>
            </w:pPr>
            <w:r w:rsidDel="00000000" w:rsidR="00000000" w:rsidRPr="00000000">
              <w:rPr>
                <w:rFonts w:ascii="Times New Roman" w:cs="Times New Roman" w:eastAsia="Times New Roman" w:hAnsi="Times New Roman"/>
                <w:rtl w:val="0"/>
              </w:rPr>
              <w:t xml:space="preserve">26</w:t>
            </w:r>
          </w:p>
        </w:tc>
        <w:tc>
          <w:tcPr/>
          <w:p w:rsidR="00000000" w:rsidDel="00000000" w:rsidP="00000000" w:rsidRDefault="00000000" w:rsidRPr="00000000">
            <w:pPr>
              <w:contextualSpacing w:val="0"/>
              <w:jc w:val="center"/>
            </w:pPr>
            <w:r w:rsidDel="00000000" w:rsidR="00000000" w:rsidRPr="00000000">
              <w:rPr>
                <w:rFonts w:ascii="Times New Roman" w:cs="Times New Roman" w:eastAsia="Times New Roman" w:hAnsi="Times New Roman"/>
                <w:rtl w:val="0"/>
              </w:rPr>
              <w:t xml:space="preserve">13</w:t>
            </w:r>
          </w:p>
        </w:tc>
        <w:tc>
          <w:tcPr/>
          <w:p w:rsidR="00000000" w:rsidDel="00000000" w:rsidP="00000000" w:rsidRDefault="00000000" w:rsidRPr="00000000">
            <w:pPr>
              <w:contextualSpacing w:val="0"/>
              <w:jc w:val="center"/>
            </w:pPr>
            <w:r w:rsidDel="00000000" w:rsidR="00000000" w:rsidRPr="00000000">
              <w:rPr>
                <w:rFonts w:ascii="Times New Roman" w:cs="Times New Roman" w:eastAsia="Times New Roman" w:hAnsi="Times New Roman"/>
                <w:rtl w:val="0"/>
              </w:rPr>
              <w:t xml:space="preserve">28</w:t>
            </w:r>
          </w:p>
        </w:tc>
        <w:tc>
          <w:tcPr/>
          <w:p w:rsidR="00000000" w:rsidDel="00000000" w:rsidP="00000000" w:rsidRDefault="00000000" w:rsidRPr="00000000">
            <w:pPr>
              <w:contextualSpacing w:val="0"/>
              <w:jc w:val="center"/>
            </w:pPr>
            <w:r w:rsidDel="00000000" w:rsidR="00000000" w:rsidRPr="00000000">
              <w:rPr>
                <w:rFonts w:ascii="Times New Roman" w:cs="Times New Roman" w:eastAsia="Times New Roman" w:hAnsi="Times New Roman"/>
                <w:rtl w:val="0"/>
              </w:rPr>
              <w:t xml:space="preserve">42</w:t>
            </w:r>
          </w:p>
        </w:tc>
      </w:tr>
      <w:tr>
        <w:tc>
          <w:tcPr/>
          <w:p w:rsidR="00000000" w:rsidDel="00000000" w:rsidP="00000000" w:rsidRDefault="00000000" w:rsidRPr="00000000">
            <w:pPr>
              <w:contextualSpacing w:val="0"/>
            </w:pPr>
            <w:r w:rsidDel="00000000" w:rsidR="00000000" w:rsidRPr="00000000">
              <w:rPr>
                <w:rFonts w:ascii="Times New Roman" w:cs="Times New Roman" w:eastAsia="Times New Roman" w:hAnsi="Times New Roman"/>
                <w:rtl w:val="0"/>
              </w:rPr>
              <w:t xml:space="preserve">Luxembourg</w:t>
            </w:r>
          </w:p>
        </w:tc>
        <w:tc>
          <w:tcPr/>
          <w:p w:rsidR="00000000" w:rsidDel="00000000" w:rsidP="00000000" w:rsidRDefault="00000000" w:rsidRPr="00000000">
            <w:pPr>
              <w:contextualSpacing w:val="0"/>
              <w:jc w:val="center"/>
            </w:pPr>
            <w:r w:rsidDel="00000000" w:rsidR="00000000" w:rsidRPr="00000000">
              <w:rPr>
                <w:rFonts w:ascii="Times New Roman" w:cs="Times New Roman" w:eastAsia="Times New Roman" w:hAnsi="Times New Roman"/>
                <w:rtl w:val="0"/>
              </w:rPr>
              <w:t xml:space="preserve">7</w:t>
            </w:r>
          </w:p>
        </w:tc>
        <w:tc>
          <w:tcPr/>
          <w:p w:rsidR="00000000" w:rsidDel="00000000" w:rsidP="00000000" w:rsidRDefault="00000000" w:rsidRPr="00000000">
            <w:pPr>
              <w:contextualSpacing w:val="0"/>
              <w:jc w:val="center"/>
            </w:pPr>
            <w:r w:rsidDel="00000000" w:rsidR="00000000" w:rsidRPr="00000000">
              <w:rPr>
                <w:rFonts w:ascii="Times New Roman" w:cs="Times New Roman" w:eastAsia="Times New Roman" w:hAnsi="Times New Roman"/>
                <w:rtl w:val="0"/>
              </w:rPr>
              <w:t xml:space="preserve">12</w:t>
            </w:r>
          </w:p>
        </w:tc>
        <w:tc>
          <w:tcPr/>
          <w:p w:rsidR="00000000" w:rsidDel="00000000" w:rsidP="00000000" w:rsidRDefault="00000000" w:rsidRPr="00000000">
            <w:pPr>
              <w:contextualSpacing w:val="0"/>
              <w:jc w:val="center"/>
            </w:pPr>
            <w:r w:rsidDel="00000000" w:rsidR="00000000" w:rsidRPr="00000000">
              <w:rPr>
                <w:rFonts w:ascii="Times New Roman" w:cs="Times New Roman" w:eastAsia="Times New Roman" w:hAnsi="Times New Roman"/>
                <w:rtl w:val="0"/>
              </w:rPr>
              <w:t xml:space="preserve">19</w:t>
            </w:r>
          </w:p>
        </w:tc>
        <w:tc>
          <w:tcPr/>
          <w:p w:rsidR="00000000" w:rsidDel="00000000" w:rsidP="00000000" w:rsidRDefault="00000000" w:rsidRPr="00000000">
            <w:pPr>
              <w:contextualSpacing w:val="0"/>
              <w:jc w:val="center"/>
            </w:pPr>
            <w:r w:rsidDel="00000000" w:rsidR="00000000" w:rsidRPr="00000000">
              <w:rPr>
                <w:rFonts w:ascii="Times New Roman" w:cs="Times New Roman" w:eastAsia="Times New Roman" w:hAnsi="Times New Roman"/>
                <w:rtl w:val="0"/>
              </w:rPr>
              <w:t xml:space="preserve">13</w:t>
            </w:r>
          </w:p>
        </w:tc>
        <w:tc>
          <w:tcPr/>
          <w:p w:rsidR="00000000" w:rsidDel="00000000" w:rsidP="00000000" w:rsidRDefault="00000000" w:rsidRPr="00000000">
            <w:pPr>
              <w:contextualSpacing w:val="0"/>
              <w:jc w:val="center"/>
            </w:pPr>
            <w:r w:rsidDel="00000000" w:rsidR="00000000" w:rsidRPr="00000000">
              <w:rPr>
                <w:rFonts w:ascii="Times New Roman" w:cs="Times New Roman" w:eastAsia="Times New Roman" w:hAnsi="Times New Roman"/>
                <w:rtl w:val="0"/>
              </w:rPr>
              <w:t xml:space="preserve">26</w:t>
            </w:r>
          </w:p>
        </w:tc>
        <w:tc>
          <w:tcPr/>
          <w:p w:rsidR="00000000" w:rsidDel="00000000" w:rsidP="00000000" w:rsidRDefault="00000000" w:rsidRPr="00000000">
            <w:pPr>
              <w:contextualSpacing w:val="0"/>
              <w:jc w:val="center"/>
            </w:pPr>
            <w:r w:rsidDel="00000000" w:rsidR="00000000" w:rsidRPr="00000000">
              <w:rPr>
                <w:rFonts w:ascii="Times New Roman" w:cs="Times New Roman" w:eastAsia="Times New Roman" w:hAnsi="Times New Roman"/>
                <w:rtl w:val="0"/>
              </w:rPr>
              <w:t xml:space="preserve">39</w:t>
            </w:r>
          </w:p>
        </w:tc>
      </w:tr>
      <w:tr>
        <w:tc>
          <w:tcPr/>
          <w:p w:rsidR="00000000" w:rsidDel="00000000" w:rsidP="00000000" w:rsidRDefault="00000000" w:rsidRPr="00000000">
            <w:pPr>
              <w:contextualSpacing w:val="0"/>
            </w:pPr>
            <w:r w:rsidDel="00000000" w:rsidR="00000000" w:rsidRPr="00000000">
              <w:rPr>
                <w:rFonts w:ascii="Times New Roman" w:cs="Times New Roman" w:eastAsia="Times New Roman" w:hAnsi="Times New Roman"/>
                <w:rtl w:val="0"/>
              </w:rPr>
              <w:t xml:space="preserve">Mexico</w:t>
            </w:r>
          </w:p>
        </w:tc>
        <w:tc>
          <w:tcPr/>
          <w:p w:rsidR="00000000" w:rsidDel="00000000" w:rsidP="00000000" w:rsidRDefault="00000000" w:rsidRPr="00000000">
            <w:pPr>
              <w:contextualSpacing w:val="0"/>
              <w:jc w:val="center"/>
            </w:pPr>
            <w:r w:rsidDel="00000000" w:rsidR="00000000" w:rsidRPr="00000000">
              <w:rPr>
                <w:rFonts w:ascii="Times New Roman" w:cs="Times New Roman" w:eastAsia="Times New Roman" w:hAnsi="Times New Roman"/>
                <w:rtl w:val="0"/>
              </w:rPr>
              <w:t xml:space="preserve">3</w:t>
            </w:r>
          </w:p>
        </w:tc>
        <w:tc>
          <w:tcPr/>
          <w:p w:rsidR="00000000" w:rsidDel="00000000" w:rsidP="00000000" w:rsidRDefault="00000000" w:rsidRPr="00000000">
            <w:pPr>
              <w:contextualSpacing w:val="0"/>
              <w:jc w:val="center"/>
            </w:pPr>
            <w:r w:rsidDel="00000000" w:rsidR="00000000" w:rsidRPr="00000000">
              <w:rPr>
                <w:rFonts w:ascii="Times New Roman" w:cs="Times New Roman" w:eastAsia="Times New Roman" w:hAnsi="Times New Roman"/>
                <w:rtl w:val="0"/>
              </w:rPr>
              <w:t xml:space="preserve">2</w:t>
            </w:r>
          </w:p>
        </w:tc>
        <w:tc>
          <w:tcPr/>
          <w:p w:rsidR="00000000" w:rsidDel="00000000" w:rsidP="00000000" w:rsidRDefault="00000000" w:rsidRPr="00000000">
            <w:pPr>
              <w:contextualSpacing w:val="0"/>
              <w:jc w:val="center"/>
            </w:pPr>
            <w:r w:rsidDel="00000000" w:rsidR="00000000" w:rsidRPr="00000000">
              <w:rPr>
                <w:rFonts w:ascii="Times New Roman" w:cs="Times New Roman" w:eastAsia="Times New Roman" w:hAnsi="Times New Roman"/>
                <w:rtl w:val="0"/>
              </w:rPr>
              <w:t xml:space="preserve">5</w:t>
            </w:r>
          </w:p>
        </w:tc>
        <w:tc>
          <w:tcPr/>
          <w:p w:rsidR="00000000" w:rsidDel="00000000" w:rsidP="00000000" w:rsidRDefault="00000000" w:rsidRPr="00000000">
            <w:pPr>
              <w:contextualSpacing w:val="0"/>
              <w:jc w:val="center"/>
            </w:pPr>
            <w:r w:rsidDel="00000000" w:rsidR="00000000" w:rsidRPr="00000000">
              <w:rPr>
                <w:rFonts w:ascii="Times New Roman" w:cs="Times New Roman" w:eastAsia="Times New Roman" w:hAnsi="Times New Roman"/>
                <w:rtl w:val="0"/>
              </w:rPr>
              <w:t xml:space="preserve">1</w:t>
            </w:r>
          </w:p>
        </w:tc>
        <w:tc>
          <w:tcPr/>
          <w:p w:rsidR="00000000" w:rsidDel="00000000" w:rsidP="00000000" w:rsidRDefault="00000000" w:rsidRPr="00000000">
            <w:pPr>
              <w:contextualSpacing w:val="0"/>
              <w:jc w:val="center"/>
            </w:pPr>
            <w:r w:rsidDel="00000000" w:rsidR="00000000" w:rsidRPr="00000000">
              <w:rPr>
                <w:rFonts w:ascii="Times New Roman" w:cs="Times New Roman" w:eastAsia="Times New Roman" w:hAnsi="Times New Roman"/>
                <w:rtl w:val="0"/>
              </w:rPr>
              <w:t xml:space="preserve">17</w:t>
            </w:r>
          </w:p>
        </w:tc>
        <w:tc>
          <w:tcPr/>
          <w:p w:rsidR="00000000" w:rsidDel="00000000" w:rsidP="00000000" w:rsidRDefault="00000000" w:rsidRPr="00000000">
            <w:pPr>
              <w:contextualSpacing w:val="0"/>
              <w:jc w:val="center"/>
            </w:pPr>
            <w:r w:rsidDel="00000000" w:rsidR="00000000" w:rsidRPr="00000000">
              <w:rPr>
                <w:rFonts w:ascii="Times New Roman" w:cs="Times New Roman" w:eastAsia="Times New Roman" w:hAnsi="Times New Roman"/>
                <w:rtl w:val="0"/>
              </w:rPr>
              <w:t xml:space="preserve">18</w:t>
            </w:r>
          </w:p>
        </w:tc>
      </w:tr>
      <w:tr>
        <w:tc>
          <w:tcPr/>
          <w:p w:rsidR="00000000" w:rsidDel="00000000" w:rsidP="00000000" w:rsidRDefault="00000000" w:rsidRPr="00000000">
            <w:pPr>
              <w:contextualSpacing w:val="0"/>
            </w:pPr>
            <w:r w:rsidDel="00000000" w:rsidR="00000000" w:rsidRPr="00000000">
              <w:rPr>
                <w:rFonts w:ascii="Times New Roman" w:cs="Times New Roman" w:eastAsia="Times New Roman" w:hAnsi="Times New Roman"/>
                <w:rtl w:val="0"/>
              </w:rPr>
              <w:t xml:space="preserve">Netherlands</w:t>
            </w:r>
          </w:p>
        </w:tc>
        <w:tc>
          <w:tcPr/>
          <w:p w:rsidR="00000000" w:rsidDel="00000000" w:rsidP="00000000" w:rsidRDefault="00000000" w:rsidRPr="00000000">
            <w:pPr>
              <w:contextualSpacing w:val="0"/>
              <w:jc w:val="center"/>
            </w:pPr>
            <w:r w:rsidDel="00000000" w:rsidR="00000000" w:rsidRPr="00000000">
              <w:rPr>
                <w:rFonts w:ascii="Times New Roman" w:cs="Times New Roman" w:eastAsia="Times New Roman" w:hAnsi="Times New Roman"/>
                <w:rtl w:val="0"/>
              </w:rPr>
              <w:t xml:space="preserve">3</w:t>
            </w:r>
          </w:p>
        </w:tc>
        <w:tc>
          <w:tcPr/>
          <w:p w:rsidR="00000000" w:rsidDel="00000000" w:rsidP="00000000" w:rsidRDefault="00000000" w:rsidRPr="00000000">
            <w:pPr>
              <w:contextualSpacing w:val="0"/>
              <w:jc w:val="center"/>
            </w:pPr>
            <w:r w:rsidDel="00000000" w:rsidR="00000000" w:rsidRPr="00000000">
              <w:rPr>
                <w:rFonts w:ascii="Times New Roman" w:cs="Times New Roman" w:eastAsia="Times New Roman" w:hAnsi="Times New Roman"/>
                <w:rtl w:val="0"/>
              </w:rPr>
              <w:t xml:space="preserve">22</w:t>
            </w:r>
          </w:p>
        </w:tc>
        <w:tc>
          <w:tcPr/>
          <w:p w:rsidR="00000000" w:rsidDel="00000000" w:rsidP="00000000" w:rsidRDefault="00000000" w:rsidRPr="00000000">
            <w:pPr>
              <w:contextualSpacing w:val="0"/>
              <w:jc w:val="center"/>
            </w:pPr>
            <w:r w:rsidDel="00000000" w:rsidR="00000000" w:rsidRPr="00000000">
              <w:rPr>
                <w:rFonts w:ascii="Times New Roman" w:cs="Times New Roman" w:eastAsia="Times New Roman" w:hAnsi="Times New Roman"/>
                <w:rtl w:val="0"/>
              </w:rPr>
              <w:t xml:space="preserve">25</w:t>
            </w:r>
          </w:p>
        </w:tc>
        <w:tc>
          <w:tcPr/>
          <w:p w:rsidR="00000000" w:rsidDel="00000000" w:rsidP="00000000" w:rsidRDefault="00000000" w:rsidRPr="00000000">
            <w:pPr>
              <w:contextualSpacing w:val="0"/>
              <w:jc w:val="center"/>
            </w:pPr>
            <w:r w:rsidDel="00000000" w:rsidR="00000000" w:rsidRPr="00000000">
              <w:rPr>
                <w:rFonts w:ascii="Times New Roman" w:cs="Times New Roman" w:eastAsia="Times New Roman" w:hAnsi="Times New Roman"/>
                <w:rtl w:val="0"/>
              </w:rPr>
              <w:t xml:space="preserve">3</w:t>
            </w:r>
          </w:p>
        </w:tc>
        <w:tc>
          <w:tcPr/>
          <w:p w:rsidR="00000000" w:rsidDel="00000000" w:rsidP="00000000" w:rsidRDefault="00000000" w:rsidRPr="00000000">
            <w:pPr>
              <w:contextualSpacing w:val="0"/>
              <w:jc w:val="center"/>
            </w:pPr>
            <w:r w:rsidDel="00000000" w:rsidR="00000000" w:rsidRPr="00000000">
              <w:rPr>
                <w:rFonts w:ascii="Times New Roman" w:cs="Times New Roman" w:eastAsia="Times New Roman" w:hAnsi="Times New Roman"/>
                <w:rtl w:val="0"/>
              </w:rPr>
              <w:t xml:space="preserve">32</w:t>
            </w:r>
          </w:p>
        </w:tc>
        <w:tc>
          <w:tcPr/>
          <w:p w:rsidR="00000000" w:rsidDel="00000000" w:rsidP="00000000" w:rsidRDefault="00000000" w:rsidRPr="00000000">
            <w:pPr>
              <w:contextualSpacing w:val="0"/>
              <w:jc w:val="center"/>
            </w:pPr>
            <w:r w:rsidDel="00000000" w:rsidR="00000000" w:rsidRPr="00000000">
              <w:rPr>
                <w:rFonts w:ascii="Times New Roman" w:cs="Times New Roman" w:eastAsia="Times New Roman" w:hAnsi="Times New Roman"/>
                <w:rtl w:val="0"/>
              </w:rPr>
              <w:t xml:space="preserve">34</w:t>
            </w:r>
          </w:p>
        </w:tc>
      </w:tr>
      <w:tr>
        <w:tc>
          <w:tcPr/>
          <w:p w:rsidR="00000000" w:rsidDel="00000000" w:rsidP="00000000" w:rsidRDefault="00000000" w:rsidRPr="00000000">
            <w:pPr>
              <w:contextualSpacing w:val="0"/>
            </w:pPr>
            <w:r w:rsidDel="00000000" w:rsidR="00000000" w:rsidRPr="00000000">
              <w:rPr>
                <w:rFonts w:ascii="Times New Roman" w:cs="Times New Roman" w:eastAsia="Times New Roman" w:hAnsi="Times New Roman"/>
                <w:rtl w:val="0"/>
              </w:rPr>
              <w:t xml:space="preserve">New Zealand</w:t>
            </w:r>
          </w:p>
        </w:tc>
        <w:tc>
          <w:tcPr/>
          <w:p w:rsidR="00000000" w:rsidDel="00000000" w:rsidP="00000000" w:rsidRDefault="00000000" w:rsidRPr="00000000">
            <w:pPr>
              <w:contextualSpacing w:val="0"/>
              <w:jc w:val="center"/>
            </w:pPr>
            <w:r w:rsidDel="00000000" w:rsidR="00000000" w:rsidRPr="00000000">
              <w:rPr>
                <w:rFonts w:ascii="Times New Roman" w:cs="Times New Roman" w:eastAsia="Times New Roman" w:hAnsi="Times New Roman"/>
                <w:rtl w:val="0"/>
              </w:rPr>
              <w:t xml:space="preserve">15</w:t>
            </w:r>
          </w:p>
        </w:tc>
        <w:tc>
          <w:tcPr/>
          <w:p w:rsidR="00000000" w:rsidDel="00000000" w:rsidP="00000000" w:rsidRDefault="00000000" w:rsidRPr="00000000">
            <w:pPr>
              <w:contextualSpacing w:val="0"/>
              <w:jc w:val="center"/>
            </w:pPr>
            <w:r w:rsidDel="00000000" w:rsidR="00000000" w:rsidRPr="00000000">
              <w:rPr>
                <w:rFonts w:ascii="Times New Roman" w:cs="Times New Roman" w:eastAsia="Times New Roman" w:hAnsi="Times New Roman"/>
                <w:rtl w:val="0"/>
              </w:rPr>
              <w:t xml:space="preserve">15</w:t>
            </w:r>
          </w:p>
        </w:tc>
        <w:tc>
          <w:tcPr/>
          <w:p w:rsidR="00000000" w:rsidDel="00000000" w:rsidP="00000000" w:rsidRDefault="00000000" w:rsidRPr="00000000">
            <w:pPr>
              <w:contextualSpacing w:val="0"/>
              <w:jc w:val="center"/>
            </w:pPr>
            <w:r w:rsidDel="00000000" w:rsidR="00000000" w:rsidRPr="00000000">
              <w:rPr>
                <w:rFonts w:ascii="Times New Roman" w:cs="Times New Roman" w:eastAsia="Times New Roman" w:hAnsi="Times New Roman"/>
                <w:rtl w:val="0"/>
              </w:rPr>
              <w:t xml:space="preserve">30</w:t>
            </w:r>
          </w:p>
        </w:tc>
        <w:tc>
          <w:tcPr/>
          <w:p w:rsidR="00000000" w:rsidDel="00000000" w:rsidP="00000000" w:rsidRDefault="00000000" w:rsidRPr="00000000">
            <w:pPr>
              <w:contextualSpacing w:val="0"/>
              <w:jc w:val="center"/>
            </w:pPr>
            <w:r w:rsidDel="00000000" w:rsidR="00000000" w:rsidRPr="00000000">
              <w:rPr>
                <w:rFonts w:ascii="Times New Roman" w:cs="Times New Roman" w:eastAsia="Times New Roman" w:hAnsi="Times New Roman"/>
                <w:rtl w:val="0"/>
              </w:rPr>
              <w:t xml:space="preserve">15</w:t>
            </w:r>
          </w:p>
        </w:tc>
        <w:tc>
          <w:tcPr/>
          <w:p w:rsidR="00000000" w:rsidDel="00000000" w:rsidP="00000000" w:rsidRDefault="00000000" w:rsidRPr="00000000">
            <w:pPr>
              <w:contextualSpacing w:val="0"/>
              <w:jc w:val="center"/>
            </w:pPr>
            <w:r w:rsidDel="00000000" w:rsidR="00000000" w:rsidRPr="00000000">
              <w:rPr>
                <w:rFonts w:ascii="Times New Roman" w:cs="Times New Roman" w:eastAsia="Times New Roman" w:hAnsi="Times New Roman"/>
                <w:rtl w:val="0"/>
              </w:rPr>
              <w:t xml:space="preserve">25</w:t>
            </w:r>
          </w:p>
        </w:tc>
        <w:tc>
          <w:tcPr/>
          <w:p w:rsidR="00000000" w:rsidDel="00000000" w:rsidP="00000000" w:rsidRDefault="00000000" w:rsidRPr="00000000">
            <w:pPr>
              <w:contextualSpacing w:val="0"/>
              <w:jc w:val="center"/>
            </w:pPr>
            <w:r w:rsidDel="00000000" w:rsidR="00000000" w:rsidRPr="00000000">
              <w:rPr>
                <w:rFonts w:ascii="Times New Roman" w:cs="Times New Roman" w:eastAsia="Times New Roman" w:hAnsi="Times New Roman"/>
                <w:rtl w:val="0"/>
              </w:rPr>
              <w:t xml:space="preserve">41</w:t>
            </w:r>
          </w:p>
        </w:tc>
      </w:tr>
      <w:tr>
        <w:tc>
          <w:tcPr/>
          <w:p w:rsidR="00000000" w:rsidDel="00000000" w:rsidP="00000000" w:rsidRDefault="00000000" w:rsidRPr="00000000">
            <w:pPr>
              <w:contextualSpacing w:val="0"/>
            </w:pPr>
            <w:r w:rsidDel="00000000" w:rsidR="00000000" w:rsidRPr="00000000">
              <w:rPr>
                <w:rFonts w:ascii="Times New Roman" w:cs="Times New Roman" w:eastAsia="Times New Roman" w:hAnsi="Times New Roman"/>
                <w:rtl w:val="0"/>
              </w:rPr>
              <w:t xml:space="preserve">Norway</w:t>
            </w:r>
          </w:p>
        </w:tc>
        <w:tc>
          <w:tcPr/>
          <w:p w:rsidR="00000000" w:rsidDel="00000000" w:rsidP="00000000" w:rsidRDefault="00000000" w:rsidRPr="00000000">
            <w:pPr>
              <w:contextualSpacing w:val="0"/>
              <w:jc w:val="center"/>
            </w:pPr>
            <w:r w:rsidDel="00000000" w:rsidR="00000000" w:rsidRPr="00000000">
              <w:rPr>
                <w:rFonts w:ascii="Times New Roman" w:cs="Times New Roman" w:eastAsia="Times New Roman" w:hAnsi="Times New Roman"/>
                <w:rtl w:val="0"/>
              </w:rPr>
              <w:t xml:space="preserve">3</w:t>
            </w:r>
          </w:p>
        </w:tc>
        <w:tc>
          <w:tcPr/>
          <w:p w:rsidR="00000000" w:rsidDel="00000000" w:rsidP="00000000" w:rsidRDefault="00000000" w:rsidRPr="00000000">
            <w:pPr>
              <w:contextualSpacing w:val="0"/>
              <w:jc w:val="center"/>
            </w:pPr>
            <w:r w:rsidDel="00000000" w:rsidR="00000000" w:rsidRPr="00000000">
              <w:rPr>
                <w:rFonts w:ascii="Times New Roman" w:cs="Times New Roman" w:eastAsia="Times New Roman" w:hAnsi="Times New Roman"/>
                <w:rtl w:val="0"/>
              </w:rPr>
              <w:t xml:space="preserve">28</w:t>
            </w:r>
          </w:p>
        </w:tc>
        <w:tc>
          <w:tcPr/>
          <w:p w:rsidR="00000000" w:rsidDel="00000000" w:rsidP="00000000" w:rsidRDefault="00000000" w:rsidRPr="00000000">
            <w:pPr>
              <w:contextualSpacing w:val="0"/>
              <w:jc w:val="center"/>
            </w:pPr>
            <w:r w:rsidDel="00000000" w:rsidR="00000000" w:rsidRPr="00000000">
              <w:rPr>
                <w:rFonts w:ascii="Times New Roman" w:cs="Times New Roman" w:eastAsia="Times New Roman" w:hAnsi="Times New Roman"/>
                <w:rtl w:val="0"/>
              </w:rPr>
              <w:t xml:space="preserve">31</w:t>
            </w:r>
          </w:p>
        </w:tc>
        <w:tc>
          <w:tcPr/>
          <w:p w:rsidR="00000000" w:rsidDel="00000000" w:rsidP="00000000" w:rsidRDefault="00000000" w:rsidRPr="00000000">
            <w:pPr>
              <w:contextualSpacing w:val="0"/>
              <w:jc w:val="center"/>
            </w:pPr>
            <w:r w:rsidDel="00000000" w:rsidR="00000000" w:rsidRPr="00000000">
              <w:rPr>
                <w:rFonts w:ascii="Times New Roman" w:cs="Times New Roman" w:eastAsia="Times New Roman" w:hAnsi="Times New Roman"/>
                <w:rtl w:val="0"/>
              </w:rPr>
              <w:t xml:space="preserve">2</w:t>
            </w:r>
          </w:p>
        </w:tc>
        <w:tc>
          <w:tcPr/>
          <w:p w:rsidR="00000000" w:rsidDel="00000000" w:rsidP="00000000" w:rsidRDefault="00000000" w:rsidRPr="00000000">
            <w:pPr>
              <w:contextualSpacing w:val="0"/>
              <w:jc w:val="center"/>
            </w:pPr>
            <w:r w:rsidDel="00000000" w:rsidR="00000000" w:rsidRPr="00000000">
              <w:rPr>
                <w:rFonts w:ascii="Times New Roman" w:cs="Times New Roman" w:eastAsia="Times New Roman" w:hAnsi="Times New Roman"/>
                <w:rtl w:val="0"/>
              </w:rPr>
              <w:t xml:space="preserve">36</w:t>
            </w:r>
          </w:p>
        </w:tc>
        <w:tc>
          <w:tcPr/>
          <w:p w:rsidR="00000000" w:rsidDel="00000000" w:rsidP="00000000" w:rsidRDefault="00000000" w:rsidRPr="00000000">
            <w:pPr>
              <w:contextualSpacing w:val="0"/>
              <w:jc w:val="center"/>
            </w:pPr>
            <w:r w:rsidDel="00000000" w:rsidR="00000000" w:rsidRPr="00000000">
              <w:rPr>
                <w:rFonts w:ascii="Times New Roman" w:cs="Times New Roman" w:eastAsia="Times New Roman" w:hAnsi="Times New Roman"/>
                <w:rtl w:val="0"/>
              </w:rPr>
              <w:t xml:space="preserve">39</w:t>
            </w:r>
          </w:p>
        </w:tc>
      </w:tr>
      <w:tr>
        <w:tc>
          <w:tcPr/>
          <w:p w:rsidR="00000000" w:rsidDel="00000000" w:rsidP="00000000" w:rsidRDefault="00000000" w:rsidRPr="00000000">
            <w:pPr>
              <w:contextualSpacing w:val="0"/>
            </w:pPr>
            <w:r w:rsidDel="00000000" w:rsidR="00000000" w:rsidRPr="00000000">
              <w:rPr>
                <w:rFonts w:ascii="Times New Roman" w:cs="Times New Roman" w:eastAsia="Times New Roman" w:hAnsi="Times New Roman"/>
                <w:rtl w:val="0"/>
              </w:rPr>
              <w:t xml:space="preserve">Slovak Rep.</w:t>
            </w:r>
          </w:p>
        </w:tc>
        <w:tc>
          <w:tcPr/>
          <w:p w:rsidR="00000000" w:rsidDel="00000000" w:rsidP="00000000" w:rsidRDefault="00000000" w:rsidRPr="00000000">
            <w:pPr>
              <w:contextualSpacing w:val="0"/>
              <w:jc w:val="center"/>
            </w:pPr>
            <w:r w:rsidDel="00000000" w:rsidR="00000000" w:rsidRPr="00000000">
              <w:rPr>
                <w:rFonts w:ascii="Times New Roman" w:cs="Times New Roman" w:eastAsia="Times New Roman" w:hAnsi="Times New Roman"/>
                <w:rtl w:val="0"/>
              </w:rPr>
              <w:t xml:space="preserve">1</w:t>
            </w:r>
          </w:p>
        </w:tc>
        <w:tc>
          <w:tcPr/>
          <w:p w:rsidR="00000000" w:rsidDel="00000000" w:rsidP="00000000" w:rsidRDefault="00000000" w:rsidRPr="00000000">
            <w:pPr>
              <w:contextualSpacing w:val="0"/>
              <w:jc w:val="center"/>
            </w:pPr>
            <w:r w:rsidDel="00000000" w:rsidR="00000000" w:rsidRPr="00000000">
              <w:rPr>
                <w:rFonts w:ascii="Times New Roman" w:cs="Times New Roman" w:eastAsia="Times New Roman" w:hAnsi="Times New Roman"/>
                <w:rtl w:val="0"/>
              </w:rPr>
              <w:t xml:space="preserve">10</w:t>
            </w:r>
          </w:p>
        </w:tc>
        <w:tc>
          <w:tcPr/>
          <w:p w:rsidR="00000000" w:rsidDel="00000000" w:rsidP="00000000" w:rsidRDefault="00000000" w:rsidRPr="00000000">
            <w:pPr>
              <w:contextualSpacing w:val="0"/>
              <w:jc w:val="center"/>
            </w:pPr>
            <w:r w:rsidDel="00000000" w:rsidR="00000000" w:rsidRPr="00000000">
              <w:rPr>
                <w:rFonts w:ascii="Times New Roman" w:cs="Times New Roman" w:eastAsia="Times New Roman" w:hAnsi="Times New Roman"/>
                <w:rtl w:val="0"/>
              </w:rPr>
              <w:t xml:space="preserve">11</w:t>
            </w:r>
          </w:p>
        </w:tc>
        <w:tc>
          <w:tcPr/>
          <w:p w:rsidR="00000000" w:rsidDel="00000000" w:rsidP="00000000" w:rsidRDefault="00000000" w:rsidRPr="00000000">
            <w:pPr>
              <w:contextualSpacing w:val="0"/>
              <w:jc w:val="center"/>
            </w:pPr>
            <w:r w:rsidDel="00000000" w:rsidR="00000000" w:rsidRPr="00000000">
              <w:rPr>
                <w:rFonts w:ascii="Times New Roman" w:cs="Times New Roman" w:eastAsia="Times New Roman" w:hAnsi="Times New Roman"/>
                <w:rtl w:val="0"/>
              </w:rPr>
              <w:t xml:space="preserve">1</w:t>
            </w:r>
          </w:p>
        </w:tc>
        <w:tc>
          <w:tcPr/>
          <w:p w:rsidR="00000000" w:rsidDel="00000000" w:rsidP="00000000" w:rsidRDefault="00000000" w:rsidRPr="00000000">
            <w:pPr>
              <w:contextualSpacing w:val="0"/>
              <w:jc w:val="center"/>
            </w:pPr>
            <w:r w:rsidDel="00000000" w:rsidR="00000000" w:rsidRPr="00000000">
              <w:rPr>
                <w:rFonts w:ascii="Times New Roman" w:cs="Times New Roman" w:eastAsia="Times New Roman" w:hAnsi="Times New Roman"/>
                <w:rtl w:val="0"/>
              </w:rPr>
              <w:t xml:space="preserve">18</w:t>
            </w:r>
          </w:p>
        </w:tc>
        <w:tc>
          <w:tcPr/>
          <w:p w:rsidR="00000000" w:rsidDel="00000000" w:rsidP="00000000" w:rsidRDefault="00000000" w:rsidRPr="00000000">
            <w:pPr>
              <w:contextualSpacing w:val="0"/>
              <w:jc w:val="center"/>
            </w:pPr>
            <w:r w:rsidDel="00000000" w:rsidR="00000000" w:rsidRPr="00000000">
              <w:rPr>
                <w:rFonts w:ascii="Times New Roman" w:cs="Times New Roman" w:eastAsia="Times New Roman" w:hAnsi="Times New Roman"/>
                <w:rtl w:val="0"/>
              </w:rPr>
              <w:t xml:space="preserve">19</w:t>
            </w:r>
          </w:p>
        </w:tc>
      </w:tr>
      <w:tr>
        <w:tc>
          <w:tcPr/>
          <w:p w:rsidR="00000000" w:rsidDel="00000000" w:rsidP="00000000" w:rsidRDefault="00000000" w:rsidRPr="00000000">
            <w:pPr>
              <w:contextualSpacing w:val="0"/>
            </w:pPr>
            <w:r w:rsidDel="00000000" w:rsidR="00000000" w:rsidRPr="00000000">
              <w:rPr>
                <w:rFonts w:ascii="Times New Roman" w:cs="Times New Roman" w:eastAsia="Times New Roman" w:hAnsi="Times New Roman"/>
                <w:rtl w:val="0"/>
              </w:rPr>
              <w:t xml:space="preserve">Spain</w:t>
            </w:r>
          </w:p>
        </w:tc>
        <w:tc>
          <w:tcPr/>
          <w:p w:rsidR="00000000" w:rsidDel="00000000" w:rsidP="00000000" w:rsidRDefault="00000000" w:rsidRPr="00000000">
            <w:pPr>
              <w:contextualSpacing w:val="0"/>
              <w:jc w:val="center"/>
            </w:pPr>
            <w:r w:rsidDel="00000000" w:rsidR="00000000" w:rsidRPr="00000000">
              <w:rPr>
                <w:rFonts w:ascii="Times New Roman" w:cs="Times New Roman" w:eastAsia="Times New Roman" w:hAnsi="Times New Roman"/>
                <w:rtl w:val="0"/>
              </w:rPr>
              <w:t xml:space="preserve">7</w:t>
            </w:r>
          </w:p>
        </w:tc>
        <w:tc>
          <w:tcPr/>
          <w:p w:rsidR="00000000" w:rsidDel="00000000" w:rsidP="00000000" w:rsidRDefault="00000000" w:rsidRPr="00000000">
            <w:pPr>
              <w:contextualSpacing w:val="0"/>
              <w:jc w:val="center"/>
            </w:pPr>
            <w:r w:rsidDel="00000000" w:rsidR="00000000" w:rsidRPr="00000000">
              <w:rPr>
                <w:rFonts w:ascii="Times New Roman" w:cs="Times New Roman" w:eastAsia="Times New Roman" w:hAnsi="Times New Roman"/>
                <w:rtl w:val="0"/>
              </w:rPr>
              <w:t xml:space="preserve">17</w:t>
            </w:r>
          </w:p>
        </w:tc>
        <w:tc>
          <w:tcPr/>
          <w:p w:rsidR="00000000" w:rsidDel="00000000" w:rsidP="00000000" w:rsidRDefault="00000000" w:rsidRPr="00000000">
            <w:pPr>
              <w:contextualSpacing w:val="0"/>
              <w:jc w:val="center"/>
            </w:pPr>
            <w:r w:rsidDel="00000000" w:rsidR="00000000" w:rsidRPr="00000000">
              <w:rPr>
                <w:rFonts w:ascii="Times New Roman" w:cs="Times New Roman" w:eastAsia="Times New Roman" w:hAnsi="Times New Roman"/>
                <w:rtl w:val="0"/>
              </w:rPr>
              <w:t xml:space="preserve">24</w:t>
            </w:r>
          </w:p>
        </w:tc>
        <w:tc>
          <w:tcPr/>
          <w:p w:rsidR="00000000" w:rsidDel="00000000" w:rsidP="00000000" w:rsidRDefault="00000000" w:rsidRPr="00000000">
            <w:pPr>
              <w:contextualSpacing w:val="0"/>
              <w:jc w:val="center"/>
            </w:pPr>
            <w:r w:rsidDel="00000000" w:rsidR="00000000" w:rsidRPr="00000000">
              <w:rPr>
                <w:rFonts w:ascii="Times New Roman" w:cs="Times New Roman" w:eastAsia="Times New Roman" w:hAnsi="Times New Roman"/>
                <w:rtl w:val="0"/>
              </w:rPr>
              <w:t xml:space="preserve">10</w:t>
            </w:r>
          </w:p>
        </w:tc>
        <w:tc>
          <w:tcPr/>
          <w:p w:rsidR="00000000" w:rsidDel="00000000" w:rsidP="00000000" w:rsidRDefault="00000000" w:rsidRPr="00000000">
            <w:pPr>
              <w:contextualSpacing w:val="0"/>
              <w:jc w:val="center"/>
            </w:pPr>
            <w:r w:rsidDel="00000000" w:rsidR="00000000" w:rsidRPr="00000000">
              <w:rPr>
                <w:rFonts w:ascii="Times New Roman" w:cs="Times New Roman" w:eastAsia="Times New Roman" w:hAnsi="Times New Roman"/>
                <w:rtl w:val="0"/>
              </w:rPr>
              <w:t xml:space="preserve">23</w:t>
            </w:r>
          </w:p>
        </w:tc>
        <w:tc>
          <w:tcPr/>
          <w:p w:rsidR="00000000" w:rsidDel="00000000" w:rsidP="00000000" w:rsidRDefault="00000000" w:rsidRPr="00000000">
            <w:pPr>
              <w:contextualSpacing w:val="0"/>
              <w:jc w:val="center"/>
            </w:pPr>
            <w:r w:rsidDel="00000000" w:rsidR="00000000" w:rsidRPr="00000000">
              <w:rPr>
                <w:rFonts w:ascii="Times New Roman" w:cs="Times New Roman" w:eastAsia="Times New Roman" w:hAnsi="Times New Roman"/>
                <w:rtl w:val="0"/>
              </w:rPr>
              <w:t xml:space="preserve">32</w:t>
            </w:r>
          </w:p>
        </w:tc>
      </w:tr>
      <w:tr>
        <w:tc>
          <w:tcPr/>
          <w:p w:rsidR="00000000" w:rsidDel="00000000" w:rsidP="00000000" w:rsidRDefault="00000000" w:rsidRPr="00000000">
            <w:pPr>
              <w:contextualSpacing w:val="0"/>
            </w:pPr>
            <w:r w:rsidDel="00000000" w:rsidR="00000000" w:rsidRPr="00000000">
              <w:rPr>
                <w:rFonts w:ascii="Times New Roman" w:cs="Times New Roman" w:eastAsia="Times New Roman" w:hAnsi="Times New Roman"/>
                <w:rtl w:val="0"/>
              </w:rPr>
              <w:t xml:space="preserve">Sweden</w:t>
            </w:r>
          </w:p>
        </w:tc>
        <w:tc>
          <w:tcPr/>
          <w:p w:rsidR="00000000" w:rsidDel="00000000" w:rsidP="00000000" w:rsidRDefault="00000000" w:rsidRPr="00000000">
            <w:pPr>
              <w:contextualSpacing w:val="0"/>
              <w:jc w:val="center"/>
            </w:pPr>
            <w:r w:rsidDel="00000000" w:rsidR="00000000" w:rsidRPr="00000000">
              <w:rPr>
                <w:rFonts w:ascii="Times New Roman" w:cs="Times New Roman" w:eastAsia="Times New Roman" w:hAnsi="Times New Roman"/>
                <w:rtl w:val="0"/>
              </w:rPr>
              <w:t xml:space="preserve">15</w:t>
            </w:r>
          </w:p>
        </w:tc>
        <w:tc>
          <w:tcPr/>
          <w:p w:rsidR="00000000" w:rsidDel="00000000" w:rsidP="00000000" w:rsidRDefault="00000000" w:rsidRPr="00000000">
            <w:pPr>
              <w:contextualSpacing w:val="0"/>
              <w:jc w:val="center"/>
            </w:pPr>
            <w:r w:rsidDel="00000000" w:rsidR="00000000" w:rsidRPr="00000000">
              <w:rPr>
                <w:rFonts w:ascii="Times New Roman" w:cs="Times New Roman" w:eastAsia="Times New Roman" w:hAnsi="Times New Roman"/>
                <w:rtl w:val="0"/>
              </w:rPr>
              <w:t xml:space="preserve">16</w:t>
            </w:r>
          </w:p>
        </w:tc>
        <w:tc>
          <w:tcPr/>
          <w:p w:rsidR="00000000" w:rsidDel="00000000" w:rsidP="00000000" w:rsidRDefault="00000000" w:rsidRPr="00000000">
            <w:pPr>
              <w:contextualSpacing w:val="0"/>
              <w:jc w:val="center"/>
            </w:pPr>
            <w:r w:rsidDel="00000000" w:rsidR="00000000" w:rsidRPr="00000000">
              <w:rPr>
                <w:rFonts w:ascii="Times New Roman" w:cs="Times New Roman" w:eastAsia="Times New Roman" w:hAnsi="Times New Roman"/>
                <w:rtl w:val="0"/>
              </w:rPr>
              <w:t xml:space="preserve">31</w:t>
            </w:r>
          </w:p>
        </w:tc>
        <w:tc>
          <w:tcPr/>
          <w:p w:rsidR="00000000" w:rsidDel="00000000" w:rsidP="00000000" w:rsidRDefault="00000000" w:rsidRPr="00000000">
            <w:pPr>
              <w:contextualSpacing w:val="0"/>
              <w:jc w:val="center"/>
            </w:pPr>
            <w:r w:rsidDel="00000000" w:rsidR="00000000" w:rsidRPr="00000000">
              <w:rPr>
                <w:rFonts w:ascii="Times New Roman" w:cs="Times New Roman" w:eastAsia="Times New Roman" w:hAnsi="Times New Roman"/>
                <w:rtl w:val="0"/>
              </w:rPr>
              <w:t xml:space="preserve">9</w:t>
            </w:r>
          </w:p>
        </w:tc>
        <w:tc>
          <w:tcPr/>
          <w:p w:rsidR="00000000" w:rsidDel="00000000" w:rsidP="00000000" w:rsidRDefault="00000000" w:rsidRPr="00000000">
            <w:pPr>
              <w:contextualSpacing w:val="0"/>
              <w:jc w:val="center"/>
            </w:pPr>
            <w:r w:rsidDel="00000000" w:rsidR="00000000" w:rsidRPr="00000000">
              <w:rPr>
                <w:rFonts w:ascii="Times New Roman" w:cs="Times New Roman" w:eastAsia="Times New Roman" w:hAnsi="Times New Roman"/>
                <w:rtl w:val="0"/>
              </w:rPr>
              <w:t xml:space="preserve">27</w:t>
            </w:r>
          </w:p>
        </w:tc>
        <w:tc>
          <w:tcPr/>
          <w:p w:rsidR="00000000" w:rsidDel="00000000" w:rsidP="00000000" w:rsidRDefault="00000000" w:rsidRPr="00000000">
            <w:pPr>
              <w:contextualSpacing w:val="0"/>
              <w:jc w:val="center"/>
            </w:pPr>
            <w:r w:rsidDel="00000000" w:rsidR="00000000" w:rsidRPr="00000000">
              <w:rPr>
                <w:rFonts w:ascii="Times New Roman" w:cs="Times New Roman" w:eastAsia="Times New Roman" w:hAnsi="Times New Roman"/>
                <w:rtl w:val="0"/>
              </w:rPr>
              <w:t xml:space="preserve">36</w:t>
            </w:r>
          </w:p>
        </w:tc>
      </w:tr>
      <w:tr>
        <w:tc>
          <w:tcPr/>
          <w:p w:rsidR="00000000" w:rsidDel="00000000" w:rsidP="00000000" w:rsidRDefault="00000000" w:rsidRPr="00000000">
            <w:pPr>
              <w:contextualSpacing w:val="0"/>
            </w:pPr>
            <w:r w:rsidDel="00000000" w:rsidR="00000000" w:rsidRPr="00000000">
              <w:rPr>
                <w:rFonts w:ascii="Times New Roman" w:cs="Times New Roman" w:eastAsia="Times New Roman" w:hAnsi="Times New Roman"/>
                <w:rtl w:val="0"/>
              </w:rPr>
              <w:t xml:space="preserve">Switzerland</w:t>
            </w:r>
          </w:p>
        </w:tc>
        <w:tc>
          <w:tcPr/>
          <w:p w:rsidR="00000000" w:rsidDel="00000000" w:rsidP="00000000" w:rsidRDefault="00000000" w:rsidRPr="00000000">
            <w:pPr>
              <w:contextualSpacing w:val="0"/>
              <w:jc w:val="center"/>
            </w:pPr>
            <w:r w:rsidDel="00000000" w:rsidR="00000000" w:rsidRPr="00000000">
              <w:rPr>
                <w:rFonts w:ascii="Times New Roman" w:cs="Times New Roman" w:eastAsia="Times New Roman" w:hAnsi="Times New Roman"/>
                <w:rtl w:val="0"/>
              </w:rPr>
              <w:t xml:space="preserve">9</w:t>
            </w:r>
          </w:p>
        </w:tc>
        <w:tc>
          <w:tcPr/>
          <w:p w:rsidR="00000000" w:rsidDel="00000000" w:rsidP="00000000" w:rsidRDefault="00000000" w:rsidRPr="00000000">
            <w:pPr>
              <w:contextualSpacing w:val="0"/>
              <w:jc w:val="center"/>
            </w:pPr>
            <w:r w:rsidDel="00000000" w:rsidR="00000000" w:rsidRPr="00000000">
              <w:rPr>
                <w:rFonts w:ascii="Times New Roman" w:cs="Times New Roman" w:eastAsia="Times New Roman" w:hAnsi="Times New Roman"/>
                <w:rtl w:val="0"/>
              </w:rPr>
              <w:t xml:space="preserve">16</w:t>
            </w:r>
          </w:p>
        </w:tc>
        <w:tc>
          <w:tcPr/>
          <w:p w:rsidR="00000000" w:rsidDel="00000000" w:rsidP="00000000" w:rsidRDefault="00000000" w:rsidRPr="00000000">
            <w:pPr>
              <w:contextualSpacing w:val="0"/>
              <w:jc w:val="center"/>
            </w:pPr>
            <w:r w:rsidDel="00000000" w:rsidR="00000000" w:rsidRPr="00000000">
              <w:rPr>
                <w:rFonts w:ascii="Times New Roman" w:cs="Times New Roman" w:eastAsia="Times New Roman" w:hAnsi="Times New Roman"/>
                <w:rtl w:val="0"/>
              </w:rPr>
              <w:t xml:space="preserve">25</w:t>
            </w:r>
          </w:p>
        </w:tc>
        <w:tc>
          <w:tcPr/>
          <w:p w:rsidR="00000000" w:rsidDel="00000000" w:rsidP="00000000" w:rsidRDefault="00000000" w:rsidRPr="00000000">
            <w:pPr>
              <w:contextualSpacing w:val="0"/>
              <w:jc w:val="center"/>
            </w:pPr>
            <w:r w:rsidDel="00000000" w:rsidR="00000000" w:rsidRPr="00000000">
              <w:rPr>
                <w:rFonts w:ascii="Times New Roman" w:cs="Times New Roman" w:eastAsia="Times New Roman" w:hAnsi="Times New Roman"/>
                <w:rtl w:val="0"/>
              </w:rPr>
              <w:t xml:space="preserve">11</w:t>
            </w:r>
          </w:p>
        </w:tc>
        <w:tc>
          <w:tcPr/>
          <w:p w:rsidR="00000000" w:rsidDel="00000000" w:rsidP="00000000" w:rsidRDefault="00000000" w:rsidRPr="00000000">
            <w:pPr>
              <w:contextualSpacing w:val="0"/>
              <w:jc w:val="center"/>
            </w:pPr>
            <w:r w:rsidDel="00000000" w:rsidR="00000000" w:rsidRPr="00000000">
              <w:rPr>
                <w:rFonts w:ascii="Times New Roman" w:cs="Times New Roman" w:eastAsia="Times New Roman" w:hAnsi="Times New Roman"/>
                <w:rtl w:val="0"/>
              </w:rPr>
              <w:t xml:space="preserve">26</w:t>
            </w:r>
          </w:p>
        </w:tc>
        <w:tc>
          <w:tcPr/>
          <w:p w:rsidR="00000000" w:rsidDel="00000000" w:rsidP="00000000" w:rsidRDefault="00000000" w:rsidRPr="00000000">
            <w:pPr>
              <w:contextualSpacing w:val="0"/>
              <w:jc w:val="center"/>
            </w:pPr>
            <w:r w:rsidDel="00000000" w:rsidR="00000000" w:rsidRPr="00000000">
              <w:rPr>
                <w:rFonts w:ascii="Times New Roman" w:cs="Times New Roman" w:eastAsia="Times New Roman" w:hAnsi="Times New Roman"/>
                <w:rtl w:val="0"/>
              </w:rPr>
              <w:t xml:space="preserve">37</w:t>
            </w:r>
          </w:p>
        </w:tc>
      </w:tr>
      <w:tr>
        <w:tc>
          <w:tcPr/>
          <w:p w:rsidR="00000000" w:rsidDel="00000000" w:rsidP="00000000" w:rsidRDefault="00000000" w:rsidRPr="00000000">
            <w:pPr>
              <w:contextualSpacing w:val="0"/>
            </w:pPr>
            <w:r w:rsidDel="00000000" w:rsidR="00000000" w:rsidRPr="00000000">
              <w:rPr>
                <w:rFonts w:ascii="Times New Roman" w:cs="Times New Roman" w:eastAsia="Times New Roman" w:hAnsi="Times New Roman"/>
                <w:rtl w:val="0"/>
              </w:rPr>
              <w:t xml:space="preserve">U.K.</w:t>
            </w:r>
          </w:p>
        </w:tc>
        <w:tc>
          <w:tcPr/>
          <w:p w:rsidR="00000000" w:rsidDel="00000000" w:rsidP="00000000" w:rsidRDefault="00000000" w:rsidRPr="00000000">
            <w:pPr>
              <w:contextualSpacing w:val="0"/>
              <w:jc w:val="center"/>
            </w:pPr>
            <w:r w:rsidDel="00000000" w:rsidR="00000000" w:rsidRPr="00000000">
              <w:rPr>
                <w:rFonts w:ascii="Times New Roman" w:cs="Times New Roman" w:eastAsia="Times New Roman" w:hAnsi="Times New Roman"/>
                <w:rtl w:val="0"/>
              </w:rPr>
              <w:t xml:space="preserve">8</w:t>
            </w:r>
          </w:p>
        </w:tc>
        <w:tc>
          <w:tcPr/>
          <w:p w:rsidR="00000000" w:rsidDel="00000000" w:rsidP="00000000" w:rsidRDefault="00000000" w:rsidRPr="00000000">
            <w:pPr>
              <w:contextualSpacing w:val="0"/>
              <w:jc w:val="center"/>
            </w:pPr>
            <w:r w:rsidDel="00000000" w:rsidR="00000000" w:rsidRPr="00000000">
              <w:rPr>
                <w:rFonts w:ascii="Times New Roman" w:cs="Times New Roman" w:eastAsia="Times New Roman" w:hAnsi="Times New Roman"/>
                <w:rtl w:val="0"/>
              </w:rPr>
              <w:t xml:space="preserve">19</w:t>
            </w:r>
          </w:p>
        </w:tc>
        <w:tc>
          <w:tcPr/>
          <w:p w:rsidR="00000000" w:rsidDel="00000000" w:rsidP="00000000" w:rsidRDefault="00000000" w:rsidRPr="00000000">
            <w:pPr>
              <w:contextualSpacing w:val="0"/>
              <w:jc w:val="center"/>
            </w:pPr>
            <w:r w:rsidDel="00000000" w:rsidR="00000000" w:rsidRPr="00000000">
              <w:rPr>
                <w:rFonts w:ascii="Times New Roman" w:cs="Times New Roman" w:eastAsia="Times New Roman" w:hAnsi="Times New Roman"/>
                <w:rtl w:val="0"/>
              </w:rPr>
              <w:t xml:space="preserve">27</w:t>
            </w:r>
          </w:p>
        </w:tc>
        <w:tc>
          <w:tcPr/>
          <w:p w:rsidR="00000000" w:rsidDel="00000000" w:rsidP="00000000" w:rsidRDefault="00000000" w:rsidRPr="00000000">
            <w:pPr>
              <w:contextualSpacing w:val="0"/>
              <w:jc w:val="center"/>
            </w:pPr>
            <w:r w:rsidDel="00000000" w:rsidR="00000000" w:rsidRPr="00000000">
              <w:rPr>
                <w:rFonts w:ascii="Times New Roman" w:cs="Times New Roman" w:eastAsia="Times New Roman" w:hAnsi="Times New Roman"/>
                <w:rtl w:val="0"/>
              </w:rPr>
              <w:t xml:space="preserve">10</w:t>
            </w:r>
          </w:p>
        </w:tc>
        <w:tc>
          <w:tcPr/>
          <w:p w:rsidR="00000000" w:rsidDel="00000000" w:rsidP="00000000" w:rsidRDefault="00000000" w:rsidRPr="00000000">
            <w:pPr>
              <w:contextualSpacing w:val="0"/>
              <w:jc w:val="center"/>
            </w:pPr>
            <w:r w:rsidDel="00000000" w:rsidR="00000000" w:rsidRPr="00000000">
              <w:rPr>
                <w:rFonts w:ascii="Times New Roman" w:cs="Times New Roman" w:eastAsia="Times New Roman" w:hAnsi="Times New Roman"/>
                <w:rtl w:val="0"/>
              </w:rPr>
              <w:t xml:space="preserve">31</w:t>
            </w:r>
          </w:p>
        </w:tc>
        <w:tc>
          <w:tcPr/>
          <w:p w:rsidR="00000000" w:rsidDel="00000000" w:rsidP="00000000" w:rsidRDefault="00000000" w:rsidRPr="00000000">
            <w:pPr>
              <w:contextualSpacing w:val="0"/>
              <w:jc w:val="center"/>
            </w:pPr>
            <w:r w:rsidDel="00000000" w:rsidR="00000000" w:rsidRPr="00000000">
              <w:rPr>
                <w:rFonts w:ascii="Times New Roman" w:cs="Times New Roman" w:eastAsia="Times New Roman" w:hAnsi="Times New Roman"/>
                <w:rtl w:val="0"/>
              </w:rPr>
              <w:t xml:space="preserve">41</w:t>
            </w:r>
          </w:p>
        </w:tc>
      </w:tr>
      <w:tr>
        <w:tc>
          <w:tcPr/>
          <w:p w:rsidR="00000000" w:rsidDel="00000000" w:rsidP="00000000" w:rsidRDefault="00000000" w:rsidRPr="00000000">
            <w:pPr>
              <w:contextualSpacing w:val="0"/>
            </w:pPr>
            <w:r w:rsidDel="00000000" w:rsidR="00000000" w:rsidRPr="00000000">
              <w:rPr>
                <w:rFonts w:ascii="Times New Roman" w:cs="Times New Roman" w:eastAsia="Times New Roman" w:hAnsi="Times New Roman"/>
                <w:rtl w:val="0"/>
              </w:rPr>
              <w:t xml:space="preserve">U.S.A.</w:t>
            </w:r>
          </w:p>
        </w:tc>
        <w:tc>
          <w:tcPr/>
          <w:p w:rsidR="00000000" w:rsidDel="00000000" w:rsidP="00000000" w:rsidRDefault="00000000" w:rsidRPr="00000000">
            <w:pPr>
              <w:contextualSpacing w:val="0"/>
              <w:jc w:val="center"/>
            </w:pPr>
            <w:r w:rsidDel="00000000" w:rsidR="00000000" w:rsidRPr="00000000">
              <w:rPr>
                <w:rFonts w:ascii="Times New Roman" w:cs="Times New Roman" w:eastAsia="Times New Roman" w:hAnsi="Times New Roman"/>
                <w:rtl w:val="0"/>
              </w:rPr>
              <w:t xml:space="preserve">9</w:t>
            </w:r>
          </w:p>
        </w:tc>
        <w:tc>
          <w:tcPr/>
          <w:p w:rsidR="00000000" w:rsidDel="00000000" w:rsidP="00000000" w:rsidRDefault="00000000" w:rsidRPr="00000000">
            <w:pPr>
              <w:contextualSpacing w:val="0"/>
              <w:jc w:val="center"/>
            </w:pPr>
            <w:r w:rsidDel="00000000" w:rsidR="00000000" w:rsidRPr="00000000">
              <w:rPr>
                <w:rFonts w:ascii="Times New Roman" w:cs="Times New Roman" w:eastAsia="Times New Roman" w:hAnsi="Times New Roman"/>
                <w:rtl w:val="0"/>
              </w:rPr>
              <w:t xml:space="preserve">29</w:t>
            </w:r>
          </w:p>
        </w:tc>
        <w:tc>
          <w:tcPr/>
          <w:p w:rsidR="00000000" w:rsidDel="00000000" w:rsidP="00000000" w:rsidRDefault="00000000" w:rsidRPr="00000000">
            <w:pPr>
              <w:contextualSpacing w:val="0"/>
              <w:jc w:val="center"/>
            </w:pPr>
            <w:r w:rsidDel="00000000" w:rsidR="00000000" w:rsidRPr="00000000">
              <w:rPr>
                <w:rFonts w:ascii="Times New Roman" w:cs="Times New Roman" w:eastAsia="Times New Roman" w:hAnsi="Times New Roman"/>
                <w:rtl w:val="0"/>
              </w:rPr>
              <w:t xml:space="preserve">38</w:t>
            </w:r>
          </w:p>
        </w:tc>
        <w:tc>
          <w:tcPr/>
          <w:p w:rsidR="00000000" w:rsidDel="00000000" w:rsidP="00000000" w:rsidRDefault="00000000" w:rsidRPr="00000000">
            <w:pPr>
              <w:contextualSpacing w:val="0"/>
              <w:jc w:val="center"/>
            </w:pPr>
            <w:r w:rsidDel="00000000" w:rsidR="00000000" w:rsidRPr="00000000">
              <w:rPr>
                <w:rFonts w:ascii="Times New Roman" w:cs="Times New Roman" w:eastAsia="Times New Roman" w:hAnsi="Times New Roman"/>
                <w:rtl w:val="0"/>
              </w:rPr>
              <w:t xml:space="preserve">10</w:t>
            </w:r>
          </w:p>
        </w:tc>
        <w:tc>
          <w:tcPr/>
          <w:p w:rsidR="00000000" w:rsidDel="00000000" w:rsidP="00000000" w:rsidRDefault="00000000" w:rsidRPr="00000000">
            <w:pPr>
              <w:contextualSpacing w:val="0"/>
              <w:jc w:val="center"/>
            </w:pPr>
            <w:r w:rsidDel="00000000" w:rsidR="00000000" w:rsidRPr="00000000">
              <w:rPr>
                <w:rFonts w:ascii="Times New Roman" w:cs="Times New Roman" w:eastAsia="Times New Roman" w:hAnsi="Times New Roman"/>
                <w:rtl w:val="0"/>
              </w:rPr>
              <w:t xml:space="preserve">33</w:t>
            </w:r>
          </w:p>
        </w:tc>
        <w:tc>
          <w:tcPr/>
          <w:p w:rsidR="00000000" w:rsidDel="00000000" w:rsidP="00000000" w:rsidRDefault="00000000" w:rsidRPr="00000000">
            <w:pPr>
              <w:contextualSpacing w:val="0"/>
              <w:jc w:val="center"/>
            </w:pPr>
            <w:r w:rsidDel="00000000" w:rsidR="00000000" w:rsidRPr="00000000">
              <w:rPr>
                <w:rFonts w:ascii="Times New Roman" w:cs="Times New Roman" w:eastAsia="Times New Roman" w:hAnsi="Times New Roman"/>
                <w:rtl w:val="0"/>
              </w:rPr>
              <w:t xml:space="preserve">43</w:t>
            </w:r>
          </w:p>
        </w:tc>
      </w:tr>
    </w:tbl>
    <w:p w:rsidR="00000000" w:rsidDel="00000000" w:rsidP="00000000" w:rsidRDefault="00000000" w:rsidRPr="00000000">
      <w:pPr>
        <w:contextualSpacing w:val="0"/>
        <w:jc w:val="center"/>
      </w:pPr>
      <w:r w:rsidDel="00000000" w:rsidR="00000000" w:rsidRPr="00000000">
        <w:rPr>
          <w:rtl w:val="0"/>
        </w:rPr>
      </w:r>
    </w:p>
    <w:p w:rsidR="00000000" w:rsidDel="00000000" w:rsidP="00000000" w:rsidRDefault="00000000" w:rsidRPr="00000000">
      <w:pPr>
        <w:contextualSpacing w:val="0"/>
      </w:pPr>
      <w:r w:rsidDel="00000000" w:rsidR="00000000" w:rsidRPr="00000000">
        <w:rPr>
          <w:rFonts w:ascii="Times New Roman" w:cs="Times New Roman" w:eastAsia="Times New Roman" w:hAnsi="Times New Roman"/>
          <w:rtl w:val="0"/>
        </w:rPr>
        <w:t xml:space="preserve">Note: Tertiary A stands for ‘Tertiary A or advanced research programmes’; Totals for Tertiary A + Tertiary B may be affected by rounding </w:t>
      </w:r>
    </w:p>
    <w:p w:rsidR="00000000" w:rsidDel="00000000" w:rsidP="00000000" w:rsidRDefault="00000000" w:rsidRPr="00000000">
      <w:pPr>
        <w:contextualSpacing w:val="0"/>
      </w:pPr>
      <w:r w:rsidDel="00000000" w:rsidR="00000000" w:rsidRPr="00000000">
        <w:rPr>
          <w:rFonts w:ascii="Times New Roman" w:cs="Times New Roman" w:eastAsia="Times New Roman" w:hAnsi="Times New Roman"/>
          <w:rtl w:val="0"/>
        </w:rPr>
        <w:t xml:space="preserve">Source: OECD, 2004; 2014</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ind w:left="0" w:firstLine="0"/>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spacing w:after="0" w:before="0" w:line="480" w:lineRule="auto"/>
        <w:ind w:left="720" w:hanging="720"/>
        <w:contextualSpacing w:val="0"/>
      </w:pPr>
      <w:r w:rsidDel="00000000" w:rsidR="00000000" w:rsidRPr="00000000">
        <w:rPr>
          <w:rtl w:val="0"/>
        </w:rPr>
      </w:r>
    </w:p>
    <w:p w:rsidR="00000000" w:rsidDel="00000000" w:rsidP="00000000" w:rsidRDefault="00000000" w:rsidRPr="00000000">
      <w:pPr>
        <w:ind w:left="0" w:firstLine="0"/>
        <w:contextualSpacing w:val="0"/>
      </w:pPr>
      <w:r w:rsidDel="00000000" w:rsidR="00000000" w:rsidRPr="00000000">
        <w:rPr>
          <w:rtl w:val="0"/>
        </w:rPr>
      </w:r>
    </w:p>
    <w:p w:rsidR="00000000" w:rsidDel="00000000" w:rsidP="00000000" w:rsidRDefault="00000000" w:rsidRPr="00000000">
      <w:pPr>
        <w:ind w:left="0" w:firstLine="0"/>
        <w:contextualSpacing w:val="0"/>
      </w:pPr>
      <w:r w:rsidDel="00000000" w:rsidR="00000000" w:rsidRPr="00000000">
        <w:rPr>
          <w:rFonts w:ascii="Times New Roman" w:cs="Times New Roman" w:eastAsia="Times New Roman" w:hAnsi="Times New Roman"/>
          <w:b w:val="1"/>
          <w:sz w:val="24"/>
          <w:szCs w:val="24"/>
          <w:rtl w:val="0"/>
        </w:rPr>
        <w:t xml:space="preserve"> </w:t>
      </w:r>
    </w:p>
    <w:sectPr>
      <w:headerReference r:id="rId35" w:type="default"/>
      <w:headerReference r:id="rId36" w:type="first"/>
      <w:pgSz w:h="15840" w:w="12240"/>
      <w:pgMar w:bottom="1440" w:top="1440" w:left="1440" w:right="144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font w:name="Calibri"/>
  <w:font w:name="Cambria"/>
  <w:font w:name="Georgia"/>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p w:rsidR="00000000" w:rsidDel="00000000" w:rsidP="00000000" w:rsidRDefault="00000000" w:rsidRPr="00000000">
    <w:pPr>
      <w:tabs>
        <w:tab w:val="center" w:pos="4680"/>
        <w:tab w:val="right" w:pos="9360"/>
      </w:tabs>
      <w:spacing w:after="0" w:before="720" w:line="240" w:lineRule="auto"/>
      <w:ind w:left="720" w:hanging="720"/>
      <w:contextualSpacing w:val="0"/>
      <w:jc w:val="right"/>
    </w:pPr>
    <w:fldSimple w:instr="PAGE" w:fldLock="0" w:dirty="0">
      <w:r w:rsidDel="00000000" w:rsidR="00000000" w:rsidRPr="00000000">
        <w:rPr>
          <w:rFonts w:ascii="Calibri" w:cs="Calibri" w:eastAsia="Calibri" w:hAnsi="Calibri"/>
          <w:b w:val="0"/>
          <w:sz w:val="22"/>
          <w:szCs w:val="22"/>
        </w:rPr>
      </w:r>
    </w:fldSimple>
    <w:r w:rsidDel="00000000" w:rsidR="00000000" w:rsidRPr="00000000">
      <w:rPr>
        <w:rtl w:val="0"/>
      </w:rPr>
    </w:r>
  </w:p>
  <w:p w:rsidR="00000000" w:rsidDel="00000000" w:rsidP="00000000" w:rsidRDefault="00000000" w:rsidRPr="00000000">
    <w:pPr>
      <w:tabs>
        <w:tab w:val="center" w:pos="4680"/>
        <w:tab w:val="right" w:pos="9360"/>
      </w:tabs>
      <w:spacing w:after="0" w:before="0" w:line="240" w:lineRule="auto"/>
      <w:ind w:left="720" w:hanging="720"/>
      <w:contextualSpacing w:val="0"/>
    </w:pPr>
    <w:r w:rsidDel="00000000" w:rsidR="00000000" w:rsidRPr="00000000">
      <w:rPr>
        <w:rFonts w:ascii="Calibri" w:cs="Calibri" w:eastAsia="Calibri" w:hAnsi="Calibri"/>
        <w:b w:val="0"/>
        <w:sz w:val="22"/>
        <w:szCs w:val="22"/>
        <w:rtl w:val="0"/>
      </w:rPr>
      <w:t xml:space="preserve">Decline in the International Ranking</w: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p w:rsidR="00000000" w:rsidDel="00000000" w:rsidP="00000000" w:rsidRDefault="00000000" w:rsidRPr="00000000">
    <w:pPr>
      <w:tabs>
        <w:tab w:val="center" w:pos="4680"/>
        <w:tab w:val="right" w:pos="9360"/>
      </w:tabs>
      <w:spacing w:after="0" w:before="720" w:line="240" w:lineRule="auto"/>
      <w:ind w:left="720" w:hanging="720"/>
      <w:contextualSpacing w:val="0"/>
    </w:pPr>
    <w:r w:rsidDel="00000000" w:rsidR="00000000" w:rsidRPr="00000000">
      <w:rPr>
        <w:rFonts w:ascii="Calibri" w:cs="Calibri" w:eastAsia="Calibri" w:hAnsi="Calibri"/>
        <w:b w:val="0"/>
        <w:sz w:val="22"/>
        <w:szCs w:val="22"/>
        <w:rtl w:val="0"/>
      </w:rPr>
      <w:t xml:space="preserve">Running Head </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ocDefaults>
    <w:rPrDefault>
      <w:rPr>
        <w:rFonts w:ascii="Calibri" w:cs="Calibri" w:eastAsia="Calibri" w:hAnsi="Calibri"/>
        <w:b w:val="0"/>
        <w:i w:val="0"/>
        <w:smallCaps w:val="0"/>
        <w:strike w:val="0"/>
        <w:color w:val="000000"/>
        <w:sz w:val="22"/>
        <w:szCs w:val="22"/>
        <w:u w:val="none"/>
        <w:vertAlign w:val="baseline"/>
      </w:rPr>
    </w:rPrDefault>
    <w:pPrDefault>
      <w:pPr>
        <w:keepNext w:val="0"/>
        <w:keepLines w:val="0"/>
        <w:widowControl w:val="1"/>
        <w:spacing w:after="0" w:before="0" w:line="276" w:lineRule="auto"/>
        <w:ind w:left="720" w:right="0" w:hanging="720"/>
        <w:jc w:val="lef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480" w:line="276" w:lineRule="auto"/>
      <w:ind w:left="720" w:hanging="720"/>
    </w:pPr>
    <w:rPr>
      <w:rFonts w:ascii="Cambria" w:cs="Cambria" w:eastAsia="Cambria" w:hAnsi="Cambria"/>
      <w:b w:val="1"/>
      <w:color w:val="366091"/>
      <w:sz w:val="28"/>
      <w:szCs w:val="28"/>
    </w:rPr>
  </w:style>
  <w:style w:type="paragraph" w:styleId="Heading2">
    <w:name w:val="heading 2"/>
    <w:basedOn w:val="Normal"/>
    <w:next w:val="Normal"/>
    <w:pPr>
      <w:keepNext w:val="1"/>
      <w:keepLines w:val="1"/>
      <w:spacing w:after="80" w:before="360" w:lineRule="auto"/>
      <w:contextualSpacing w:val="1"/>
    </w:pPr>
    <w:rPr>
      <w:b w:val="1"/>
      <w:sz w:val="36"/>
      <w:szCs w:val="36"/>
    </w:rPr>
  </w:style>
  <w:style w:type="paragraph" w:styleId="Heading3">
    <w:name w:val="heading 3"/>
    <w:basedOn w:val="Normal"/>
    <w:next w:val="Normal"/>
    <w:pPr>
      <w:keepNext w:val="1"/>
      <w:keepLines w:val="1"/>
      <w:spacing w:after="80" w:before="280" w:lineRule="auto"/>
      <w:contextualSpacing w:val="1"/>
    </w:pPr>
    <w:rPr>
      <w:b w:val="1"/>
      <w:sz w:val="28"/>
      <w:szCs w:val="28"/>
    </w:rPr>
  </w:style>
  <w:style w:type="paragraph" w:styleId="Heading4">
    <w:name w:val="heading 4"/>
    <w:basedOn w:val="Normal"/>
    <w:next w:val="Normal"/>
    <w:pPr>
      <w:keepNext w:val="1"/>
      <w:keepLines w:val="1"/>
      <w:spacing w:after="40" w:before="240" w:lineRule="auto"/>
      <w:contextualSpacing w:val="1"/>
    </w:pPr>
    <w:rPr>
      <w:b w:val="1"/>
      <w:sz w:val="24"/>
      <w:szCs w:val="24"/>
    </w:rPr>
  </w:style>
  <w:style w:type="paragraph" w:styleId="Heading5">
    <w:name w:val="heading 5"/>
    <w:basedOn w:val="Normal"/>
    <w:next w:val="Normal"/>
    <w:pPr>
      <w:keepNext w:val="1"/>
      <w:keepLines w:val="1"/>
      <w:spacing w:after="40" w:before="220" w:lineRule="auto"/>
      <w:contextualSpacing w:val="1"/>
    </w:pPr>
    <w:rPr>
      <w:b w:val="1"/>
      <w:sz w:val="22"/>
      <w:szCs w:val="22"/>
    </w:rPr>
  </w:style>
  <w:style w:type="paragraph" w:styleId="Heading6">
    <w:name w:val="heading 6"/>
    <w:basedOn w:val="Normal"/>
    <w:next w:val="Normal"/>
    <w:pPr>
      <w:keepNext w:val="1"/>
      <w:keepLines w:val="1"/>
      <w:spacing w:after="40" w:before="200" w:lineRule="auto"/>
      <w:contextualSpacing w:val="1"/>
    </w:pPr>
    <w:rPr>
      <w:b w:val="1"/>
      <w:sz w:val="20"/>
      <w:szCs w:val="20"/>
    </w:rPr>
  </w:style>
  <w:style w:type="paragraph" w:styleId="Title">
    <w:name w:val="Title"/>
    <w:basedOn w:val="Normal"/>
    <w:next w:val="Normal"/>
    <w:pPr>
      <w:keepNext w:val="1"/>
      <w:keepLines w:val="1"/>
      <w:spacing w:after="120" w:before="480" w:lineRule="auto"/>
      <w:contextualSpacing w:val="1"/>
    </w:pPr>
    <w:rPr>
      <w:b w:val="1"/>
      <w:sz w:val="72"/>
      <w:szCs w:val="72"/>
    </w:rPr>
  </w:style>
  <w:style w:type="paragraph" w:styleId="Subtitle">
    <w:name w:val="Subtitle"/>
    <w:basedOn w:val="Normal"/>
    <w:next w:val="Normal"/>
    <w:pPr>
      <w:keepNext w:val="1"/>
      <w:keepLines w:val="1"/>
      <w:spacing w:after="80" w:before="360" w:lineRule="auto"/>
      <w:contextualSpacing w:val="1"/>
    </w:pPr>
    <w:rPr>
      <w:rFonts w:ascii="Georgia" w:cs="Georgia" w:eastAsia="Georgia" w:hAnsi="Georgia"/>
      <w:i w:val="1"/>
      <w:color w:val="666666"/>
      <w:sz w:val="48"/>
      <w:szCs w:val="48"/>
    </w:rPr>
  </w:style>
  <w:style w:type="table" w:styleId="Table1">
    <w:basedOn w:val="TableNormal"/>
    <w:pPr>
      <w:spacing w:line="240" w:lineRule="auto"/>
      <w:ind w:left="0" w:firstLine="0"/>
    </w:pPr>
    <w:rPr/>
    <w:tblPr>
      <w:tblStyleRowBandSize w:val="1"/>
      <w:tblStyleColBandSize w:val="1"/>
      <w:tblCellMar>
        <w:top w:w="0.0" w:type="dxa"/>
        <w:left w:w="115.0" w:type="dxa"/>
        <w:bottom w:w="0.0" w:type="dxa"/>
        <w:right w:w="115.0" w:type="dxa"/>
      </w:tblCellMar>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Id="rId20" Type="http://schemas.openxmlformats.org/officeDocument/2006/relationships/hyperlink" Target="http://www.luminafoundation.org/goal_2025" TargetMode="External"/><Relationship Id="rId22" Type="http://schemas.openxmlformats.org/officeDocument/2006/relationships/hyperlink" Target="http://nces.ed.gov/pubsearch/pubsinfo.asp?pubid=2008174" TargetMode="External"/><Relationship Id="rId21" Type="http://schemas.openxmlformats.org/officeDocument/2006/relationships/hyperlink" Target="http://www.minedu.fi/OPM/Koulutus/ammatillinen_koulutus/hallinto_ohjaus_ja_rahoitus/?lang=en" TargetMode="External"/><Relationship Id="rId24" Type="http://schemas.openxmlformats.org/officeDocument/2006/relationships/hyperlink" Target="http://www.oecd.org/els/family/CO_3_1_Educational_attainment_by_gender_Sep2014.pdf" TargetMode="External"/><Relationship Id="rId23" Type="http://schemas.openxmlformats.org/officeDocument/2006/relationships/hyperlink" Target="http://nces.ed.gov/programs/digest/d14/tables/dt14_317.20.asp" TargetMode="External"/><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numbering" Target="numbering.xml"/><Relationship Id="rId4" Type="http://schemas.openxmlformats.org/officeDocument/2006/relationships/styles" Target="styles.xml"/><Relationship Id="rId9" Type="http://schemas.openxmlformats.org/officeDocument/2006/relationships/hyperlink" Target="http://burning-glass.com/wp-content/uploads/Moving_the_Goalposts.pdf" TargetMode="External"/><Relationship Id="rId26" Type="http://schemas.openxmlformats.org/officeDocument/2006/relationships/hyperlink" Target="http://www.oecd.org/std/productivity-stats/oecd-compendium-of-productivity-indicators-22252126.htm" TargetMode="External"/><Relationship Id="rId25" Type="http://schemas.openxmlformats.org/officeDocument/2006/relationships/hyperlink" Target="http://www.oecd.org/els/family/CO_3_1_Educational_attainment_by_gender_Sep2014.pdf" TargetMode="External"/><Relationship Id="rId28" Type="http://schemas.openxmlformats.org/officeDocument/2006/relationships/hyperlink" Target="http://stats.oecd.org/Index.aspx?DataSetCode=PDB_LV" TargetMode="External"/><Relationship Id="rId27" Type="http://schemas.openxmlformats.org/officeDocument/2006/relationships/hyperlink" Target="http://stats.oecd.org/Index.aspx?DataSetCode=PDB_LV" TargetMode="External"/><Relationship Id="rId5" Type="http://schemas.openxmlformats.org/officeDocument/2006/relationships/hyperlink" Target="http://www.uasnet.eu/" TargetMode="External"/><Relationship Id="rId6" Type="http://schemas.openxmlformats.org/officeDocument/2006/relationships/hyperlink" Target="http://nvao.com/page/downloads/NVAO_-_Accreditation_framework-FL.pdf" TargetMode="External"/><Relationship Id="rId29" Type="http://schemas.openxmlformats.org/officeDocument/2006/relationships/hyperlink" Target="http://www.pellinstitute.org/downloads/publications-Developing_2020_Vision_May_2011.pdf" TargetMode="External"/><Relationship Id="rId7" Type="http://schemas.openxmlformats.org/officeDocument/2006/relationships/hyperlink" Target="http://www.sfgate.com/bayarea/article/15-California-community-colleges-get-OK-to-offer-6028368.php" TargetMode="External"/><Relationship Id="rId8" Type="http://schemas.openxmlformats.org/officeDocument/2006/relationships/hyperlink" Target="http://www.huffingtonpost.com/marc-f-bernstein/declining-educational-att_b_3568548.html" TargetMode="External"/><Relationship Id="rId31" Type="http://schemas.openxmlformats.org/officeDocument/2006/relationships/hyperlink" Target="http://www.stat.fi/til/akop/2014/akop_2014_2015-04-16_tau_001_en.html" TargetMode="External"/><Relationship Id="rId30" Type="http://schemas.openxmlformats.org/officeDocument/2006/relationships/hyperlink" Target="http://www.universityworldnews.com/article.php?story=20140612080509913" TargetMode="External"/><Relationship Id="rId11" Type="http://schemas.openxmlformats.org/officeDocument/2006/relationships/hyperlink" Target="http://ccrc.tc.columbia.edu/media/k2/attachments/what-we-know-about-transfer.pdf" TargetMode="External"/><Relationship Id="rId33" Type="http://schemas.openxmlformats.org/officeDocument/2006/relationships/hyperlink" Target="https://www2.ed.gov/policy/highered/guid/secletter/110323insert.pdf" TargetMode="External"/><Relationship Id="rId10" Type="http://schemas.openxmlformats.org/officeDocument/2006/relationships/hyperlink" Target="http://www.csls.ca/data/ipt1.asp" TargetMode="External"/><Relationship Id="rId32" Type="http://schemas.openxmlformats.org/officeDocument/2006/relationships/hyperlink" Target="http://www.stat.fi/til/yop/2014/yop_2014_2015-05-06_tau_001_en.html" TargetMode="External"/><Relationship Id="rId13" Type="http://schemas.openxmlformats.org/officeDocument/2006/relationships/hyperlink" Target="http://www.pewsocialtrends.org/2012/11/05/record-shares-of-young-adults-have-finished-both-high-school-and-college/" TargetMode="External"/><Relationship Id="rId35" Type="http://schemas.openxmlformats.org/officeDocument/2006/relationships/header" Target="header1.xml"/><Relationship Id="rId12" Type="http://schemas.openxmlformats.org/officeDocument/2006/relationships/hyperlink" Target="http://www.accbd.org/wp-content/uploads/2010/08/Florida-College-System-Baccalaureate-Degree-Programs-by-Abbey-Cunningham.pdf" TargetMode="External"/><Relationship Id="rId34" Type="http://schemas.openxmlformats.org/officeDocument/2006/relationships/hyperlink" Target="http://www.edweek.org/ew/articles/2014/09/17/04oecd.h34.html" TargetMode="External"/><Relationship Id="rId15" Type="http://schemas.openxmlformats.org/officeDocument/2006/relationships/hyperlink" Target="http://opinionator.blogs.nytimes.com/2013/09/07/the-great-stagnation-of-american-education/?_php=true&amp;_type=blogs&amp;_r=0" TargetMode="External"/><Relationship Id="rId14" Type="http://schemas.openxmlformats.org/officeDocument/2006/relationships/hyperlink" Target="http://www.pbs.org/wnet/need-to-know/economy/u-s-lags-behind-its-rivals-in-college-degrees-especially-in-south/2765/" TargetMode="External"/><Relationship Id="rId36" Type="http://schemas.openxmlformats.org/officeDocument/2006/relationships/header" Target="header2.xml"/><Relationship Id="rId17" Type="http://schemas.openxmlformats.org/officeDocument/2006/relationships/hyperlink" Target="http://www.hea.ie/sites/default/files/keyfactsfigures1112_0.pdf" TargetMode="External"/><Relationship Id="rId16" Type="http://schemas.openxmlformats.org/officeDocument/2006/relationships/hyperlink" Target="http://www.nebhe.org/thejournal/college-labor-shortages-in-2018/" TargetMode="External"/><Relationship Id="rId19" Type="http://schemas.openxmlformats.org/officeDocument/2006/relationships/hyperlink" Target="http://www.luminafoundation.org/files/publications/A_stronger_nation_through_higher_education-2015.pdf" TargetMode="External"/><Relationship Id="rId18" Type="http://schemas.openxmlformats.org/officeDocument/2006/relationships/hyperlink" Target="http://www.nytimes.com/2010/07/23/education/23college.html?_r=0" TargetMode="External"/></Relationships>
</file>